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54" w:rsidRDefault="002E73A2">
      <w:pPr>
        <w:tabs>
          <w:tab w:val="left" w:pos="7513"/>
        </w:tabs>
        <w:spacing w:line="360" w:lineRule="exact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 xml:space="preserve">Shanghai Municipal Commission of Commerce </w:t>
      </w:r>
    </w:p>
    <w:p w:rsidR="000B1E54" w:rsidRDefault="002E73A2">
      <w:pPr>
        <w:tabs>
          <w:tab w:val="left" w:pos="7513"/>
        </w:tabs>
        <w:spacing w:line="360" w:lineRule="exact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Shanghai Customs</w:t>
      </w:r>
    </w:p>
    <w:p w:rsidR="000B1E54" w:rsidRDefault="00BA3578">
      <w:pPr>
        <w:tabs>
          <w:tab w:val="left" w:pos="7513"/>
        </w:tabs>
        <w:spacing w:line="360" w:lineRule="exact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4638040</wp:posOffset>
                </wp:positionH>
                <wp:positionV relativeFrom="paragraph">
                  <wp:posOffset>229235</wp:posOffset>
                </wp:positionV>
                <wp:extent cx="1504315" cy="329565"/>
                <wp:effectExtent l="0" t="0" r="635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0B1E54" w:rsidRDefault="002E73A2">
                            <w:pPr>
                              <w:tabs>
                                <w:tab w:val="left" w:pos="7513"/>
                              </w:tabs>
                              <w:spacing w:line="360" w:lineRule="exact"/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b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365.2pt;margin-top:18.05pt;width:118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" strokecolor="white">
                <v:textbox style="mso-fit-shape-to-text:t">
                  <w:txbxContent>
                    <w:p w:rsidR="000B1E54" w:rsidRDefault="002E73A2">
                      <w:pPr>
                        <w:tabs>
                          <w:tab w:val="left" w:pos="7513"/>
                        </w:tabs>
                        <w:spacing w:line="360" w:lineRule="exact"/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b/>
                          <w:color w:val="FF0000"/>
                          <w:kern w:val="0"/>
                          <w:sz w:val="28"/>
                          <w:szCs w:val="28"/>
                        </w:rPr>
                        <w:t>Document</w:t>
                      </w:r>
                    </w:p>
                  </w:txbxContent>
                </v:textbox>
              </v:shape>
            </w:pict>
          </mc:Fallback>
        </mc:AlternateContent>
      </w:r>
      <w:r w:rsidR="002E73A2"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Shanghai Municipal Development and Reform Commission</w:t>
      </w:r>
    </w:p>
    <w:p w:rsidR="000B1E54" w:rsidRDefault="002E73A2">
      <w:pPr>
        <w:tabs>
          <w:tab w:val="left" w:pos="7513"/>
        </w:tabs>
        <w:spacing w:line="360" w:lineRule="exact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Shanghai Municipal Transportation Commission</w:t>
      </w:r>
    </w:p>
    <w:p w:rsidR="000B1E54" w:rsidRDefault="002E73A2">
      <w:pPr>
        <w:tabs>
          <w:tab w:val="left" w:pos="7513"/>
        </w:tabs>
        <w:spacing w:line="360" w:lineRule="exact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Shanghai Municipal Finance Bureau</w:t>
      </w:r>
    </w:p>
    <w:p w:rsidR="000B1E54" w:rsidRDefault="002E73A2">
      <w:pPr>
        <w:tabs>
          <w:tab w:val="left" w:pos="7513"/>
        </w:tabs>
        <w:spacing w:line="360" w:lineRule="exact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Shanghai Municipal Market Supervision Administration</w:t>
      </w:r>
    </w:p>
    <w:p w:rsidR="000B1E54" w:rsidRDefault="002E73A2">
      <w:pPr>
        <w:tabs>
          <w:tab w:val="left" w:pos="7513"/>
        </w:tabs>
        <w:spacing w:line="360" w:lineRule="exact"/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</w:pPr>
      <w:r>
        <w:rPr>
          <w:rFonts w:ascii="Times New Roman" w:eastAsia="Arial Unicode MS" w:hAnsi="Times New Roman" w:cs="Times New Roman" w:hint="eastAsia"/>
          <w:b/>
          <w:color w:val="FF0000"/>
          <w:kern w:val="0"/>
          <w:sz w:val="28"/>
          <w:szCs w:val="28"/>
        </w:rPr>
        <w:t xml:space="preserve">Shanghai Municipal Tax </w:t>
      </w:r>
      <w:r>
        <w:rPr>
          <w:rFonts w:ascii="Times New Roman" w:eastAsia="Arial Unicode MS" w:hAnsi="Times New Roman" w:cs="Times New Roman"/>
          <w:b/>
          <w:color w:val="FF0000"/>
          <w:kern w:val="0"/>
          <w:sz w:val="28"/>
          <w:szCs w:val="28"/>
        </w:rPr>
        <w:t>Service, State Taxation Administration</w:t>
      </w:r>
    </w:p>
    <w:p w:rsidR="000B1E54" w:rsidRDefault="00BA3578" w:rsidP="00B23C39">
      <w:pPr>
        <w:rPr>
          <w:rFonts w:ascii="Times New Roman" w:eastAsia="Arial Unicode MS" w:hAnsi="Times New Roman" w:cs="Times New Roman"/>
          <w:sz w:val="28"/>
          <w:szCs w:val="28"/>
          <w:highlight w:val="yellow"/>
        </w:rPr>
      </w:pPr>
      <w:r>
        <w:rPr>
          <w:rFonts w:ascii="Times New Roman" w:eastAsia="新宋体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372745</wp:posOffset>
                </wp:positionV>
                <wp:extent cx="5715000" cy="14605"/>
                <wp:effectExtent l="0" t="0" r="19050" b="234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146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1EA8F" id="直接连接符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8.8pt,29.35pt" to="848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" strokecolor="red" strokeweight="1pt">
                <w10:wrap anchorx="margin"/>
              </v:line>
            </w:pict>
          </mc:Fallback>
        </mc:AlternateContent>
      </w:r>
      <w:r w:rsidR="002E73A2">
        <w:rPr>
          <w:rFonts w:ascii="Times New Roman" w:eastAsia="Arial Unicode MS" w:hAnsi="Times New Roman" w:cs="Times New Roman"/>
          <w:sz w:val="28"/>
          <w:szCs w:val="28"/>
        </w:rPr>
        <w:t>No. 16</w:t>
      </w:r>
      <w:r w:rsidR="002E73A2">
        <w:rPr>
          <w:rFonts w:ascii="Times New Roman" w:eastAsia="Arial Unicode MS" w:hAnsi="Times New Roman" w:cs="Times New Roman"/>
          <w:sz w:val="28"/>
          <w:szCs w:val="28"/>
        </w:rPr>
        <w:t>〔</w:t>
      </w:r>
      <w:r w:rsidR="002E73A2">
        <w:rPr>
          <w:rFonts w:ascii="Times New Roman" w:eastAsia="Arial Unicode MS" w:hAnsi="Times New Roman" w:cs="Times New Roman"/>
          <w:sz w:val="28"/>
          <w:szCs w:val="28"/>
        </w:rPr>
        <w:t>2020</w:t>
      </w:r>
      <w:r w:rsidR="002E73A2">
        <w:rPr>
          <w:rFonts w:ascii="Times New Roman" w:eastAsia="Arial Unicode MS" w:hAnsi="Times New Roman" w:cs="Times New Roman"/>
          <w:sz w:val="28"/>
          <w:szCs w:val="28"/>
        </w:rPr>
        <w:t>〕</w:t>
      </w:r>
      <w:r w:rsidR="002E73A2">
        <w:rPr>
          <w:rFonts w:ascii="Times New Roman" w:eastAsia="Arial Unicode MS" w:hAnsi="Times New Roman" w:cs="Times New Roman"/>
          <w:sz w:val="28"/>
          <w:szCs w:val="28"/>
        </w:rPr>
        <w:t>of Shanghai Municipal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E73A2">
        <w:rPr>
          <w:rFonts w:ascii="Times New Roman" w:eastAsia="Arial Unicode MS" w:hAnsi="Times New Roman" w:cs="Times New Roman"/>
          <w:sz w:val="28"/>
          <w:szCs w:val="28"/>
        </w:rPr>
        <w:t>Commission of Commerce on Free Trade</w:t>
      </w:r>
    </w:p>
    <w:p w:rsidR="000B1E54" w:rsidRPr="00B23C39" w:rsidRDefault="000B1E54">
      <w:pPr>
        <w:jc w:val="left"/>
        <w:rPr>
          <w:rFonts w:ascii="Times New Roman" w:eastAsia="楷体_GB2312" w:hAnsi="Times New Roman" w:cs="Times New Roman"/>
          <w:b/>
          <w:sz w:val="28"/>
          <w:szCs w:val="28"/>
          <w:u w:val="single"/>
        </w:rPr>
      </w:pPr>
    </w:p>
    <w:p w:rsidR="000B1E54" w:rsidRDefault="002E73A2">
      <w:pPr>
        <w:pStyle w:val="2"/>
        <w:spacing w:line="32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bookmarkStart w:id="0" w:name="_Toc9102426"/>
      <w:r>
        <w:rPr>
          <w:rFonts w:ascii="Times New Roman" w:eastAsia="仿宋_GB2312" w:hAnsi="Times New Roman" w:cs="Times New Roman"/>
          <w:sz w:val="28"/>
          <w:szCs w:val="28"/>
        </w:rPr>
        <w:t xml:space="preserve">Circular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on Several </w:t>
      </w:r>
      <w:r>
        <w:rPr>
          <w:rFonts w:ascii="Times New Roman" w:eastAsia="仿宋_GB2312" w:hAnsi="Times New Roman" w:cs="Times New Roman"/>
          <w:sz w:val="28"/>
          <w:szCs w:val="28"/>
        </w:rPr>
        <w:t>Measures for</w:t>
      </w:r>
      <w:r w:rsidR="00BA3578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F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urther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Deepening the Reform of Business Environment for Cross-border Trade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at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Shanghai’s Port</w:t>
      </w:r>
      <w:bookmarkEnd w:id="0"/>
      <w:r>
        <w:rPr>
          <w:rFonts w:ascii="Times New Roman" w:eastAsia="仿宋_GB2312" w:hAnsi="Times New Roman" w:cs="Times New Roman"/>
          <w:sz w:val="28"/>
          <w:szCs w:val="28"/>
        </w:rPr>
        <w:t>s</w:t>
      </w:r>
    </w:p>
    <w:p w:rsidR="000B1E54" w:rsidRDefault="002E73A2" w:rsidP="001A4952">
      <w:pPr>
        <w:spacing w:beforeLines="100" w:before="312" w:line="320" w:lineRule="exact"/>
        <w:jc w:val="lef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All relevant entities of Shanghai’s ports,</w:t>
      </w:r>
    </w:p>
    <w:p w:rsidR="000B1E54" w:rsidRDefault="002E73A2">
      <w:pPr>
        <w:spacing w:before="240" w:line="320" w:lineRule="exact"/>
        <w:rPr>
          <w:rFonts w:ascii="Times New Roman" w:eastAsia="Arial Unicode MS" w:hAnsi="Times New Roman" w:cs="Times New Roman"/>
          <w:sz w:val="28"/>
          <w:szCs w:val="28"/>
        </w:rPr>
      </w:pPr>
      <w:bookmarkStart w:id="1" w:name="OLE_LINK1"/>
      <w:bookmarkStart w:id="2" w:name="OLE_LINK2"/>
      <w:r>
        <w:rPr>
          <w:rFonts w:ascii="Times New Roman" w:eastAsia="Arial Unicode MS" w:hAnsi="Times New Roman" w:cs="Times New Roman"/>
          <w:sz w:val="28"/>
          <w:szCs w:val="28"/>
        </w:rPr>
        <w:t>For the purposes of thoroughly implement</w:t>
      </w:r>
      <w:bookmarkEnd w:id="1"/>
      <w:bookmarkEnd w:id="2"/>
      <w:r>
        <w:rPr>
          <w:rFonts w:ascii="Times New Roman" w:eastAsia="Arial Unicode MS" w:hAnsi="Times New Roman" w:cs="Times New Roman"/>
          <w:sz w:val="28"/>
          <w:szCs w:val="28"/>
        </w:rPr>
        <w:t xml:space="preserve">ing the guidelines of the State Council as set forth in the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</w:rPr>
        <w:t>Work Plan for Optimizing Port Business Environment to Enhance Cross-border Trade Facilitation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(No. 37 [2018] of the State Council)and the CPC Shanghai Municipal Committee and Shanghai Municipal People’s Government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</w:rPr>
        <w:t>Circular on Issuing Shanghai’s Implementation Plan on Further Comprehensively Shaping the World-leading Business Environment</w:t>
      </w:r>
      <w:r>
        <w:rPr>
          <w:rFonts w:ascii="Times New Roman" w:eastAsia="Arial Unicode MS" w:hAnsi="Times New Roman" w:cs="Times New Roman"/>
          <w:sz w:val="28"/>
          <w:szCs w:val="28"/>
        </w:rPr>
        <w:t>(No. 1</w:t>
      </w:r>
      <w:r>
        <w:rPr>
          <w:rFonts w:ascii="Times New Roman" w:eastAsia="Arial Unicode MS" w:hAnsi="Times New Roman" w:cs="Times New Roman"/>
          <w:sz w:val="28"/>
          <w:szCs w:val="28"/>
        </w:rPr>
        <w:t>〔</w:t>
      </w:r>
      <w:r>
        <w:rPr>
          <w:rFonts w:ascii="Times New Roman" w:eastAsia="Arial Unicode MS" w:hAnsi="Times New Roman" w:cs="Times New Roman"/>
          <w:sz w:val="28"/>
          <w:szCs w:val="28"/>
        </w:rPr>
        <w:t>2020</w:t>
      </w:r>
      <w:r>
        <w:rPr>
          <w:rFonts w:ascii="Times New Roman" w:eastAsia="Arial Unicode MS" w:hAnsi="Times New Roman" w:cs="Times New Roman"/>
          <w:sz w:val="28"/>
          <w:szCs w:val="28"/>
        </w:rPr>
        <w:t>〕</w:t>
      </w:r>
      <w:r>
        <w:rPr>
          <w:rFonts w:ascii="Times New Roman" w:eastAsia="Arial Unicode MS" w:hAnsi="Times New Roman" w:cs="Times New Roman"/>
          <w:sz w:val="28"/>
          <w:szCs w:val="28"/>
        </w:rPr>
        <w:t>of the General Office of CPC Shanghai Municipal Committee), and in order to accelerate the creation of a law-based, international and convenient port-related business environment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and promote high-quality development of cross-border trade, Shanghai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Municipal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Commission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of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Commerce, Shanghai Customs, Shanghai Municipal Development and Reform Commission, Shanghai Municipal Transportation Commission, Shanghai Municipal Finance Bureau, Shanghai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Municipal Market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Supervision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Administration and Shanghai Municipal Tax Service of State Taxation Administration jointly formulate the 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>Several Measures for Further Deepening the Reform of Business Environment for Cross-border Trade at Shanghai’s Ports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, which is hereby issued and shall be earnestly implemented by </w:t>
      </w:r>
      <w:r>
        <w:rPr>
          <w:rFonts w:ascii="Times New Roman" w:eastAsia="Arial Unicode MS" w:hAnsi="Times New Roman" w:cs="Times New Roman"/>
          <w:sz w:val="28"/>
          <w:szCs w:val="28"/>
        </w:rPr>
        <w:t>all entities concerned.</w:t>
      </w:r>
    </w:p>
    <w:p w:rsidR="000B1E54" w:rsidRDefault="002E73A2">
      <w:pPr>
        <w:spacing w:before="240" w:line="320" w:lineRule="exact"/>
        <w:jc w:val="lef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Hereby notify the above.</w:t>
      </w:r>
    </w:p>
    <w:p w:rsidR="000B1E54" w:rsidRDefault="000B1E54">
      <w:pPr>
        <w:spacing w:line="320" w:lineRule="exact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0B1E54" w:rsidRDefault="002E73A2">
      <w:pPr>
        <w:spacing w:line="320" w:lineRule="exact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Shanghai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Municipal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Commission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of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Commerce</w:t>
      </w:r>
    </w:p>
    <w:p w:rsidR="000B1E54" w:rsidRDefault="002E73A2">
      <w:pPr>
        <w:spacing w:line="320" w:lineRule="exact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Shanghai Customs</w:t>
      </w:r>
    </w:p>
    <w:p w:rsidR="000B1E54" w:rsidRDefault="002E73A2">
      <w:pPr>
        <w:spacing w:line="320" w:lineRule="exact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Shanghai Municipal Development and Reform Commission</w:t>
      </w:r>
    </w:p>
    <w:p w:rsidR="000B1E54" w:rsidRDefault="002E73A2">
      <w:pPr>
        <w:spacing w:line="320" w:lineRule="exact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Shanghai Municipal Transportation Commission</w:t>
      </w:r>
    </w:p>
    <w:p w:rsidR="000B1E54" w:rsidRDefault="002E73A2">
      <w:pPr>
        <w:spacing w:line="320" w:lineRule="exact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Shanghai Municipal Finance Bureau</w:t>
      </w:r>
    </w:p>
    <w:p w:rsidR="000B1E54" w:rsidRDefault="002E73A2">
      <w:pPr>
        <w:spacing w:line="320" w:lineRule="exact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Shanghai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Municipal Market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Supervision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Administration</w:t>
      </w:r>
    </w:p>
    <w:p w:rsidR="000B1E54" w:rsidRDefault="002E73A2">
      <w:pPr>
        <w:spacing w:line="320" w:lineRule="exact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Shanghai Municipal Tax Service, State Taxation Administration</w:t>
      </w:r>
    </w:p>
    <w:p w:rsidR="000B1E54" w:rsidRDefault="000B1E54">
      <w:pPr>
        <w:spacing w:line="320" w:lineRule="exact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0B1E54" w:rsidRDefault="002E73A2">
      <w:pPr>
        <w:spacing w:line="320" w:lineRule="exact"/>
        <w:jc w:val="righ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January 21</w:t>
      </w: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eastAsia="Arial Unicode MS" w:hAnsi="Times New Roman" w:cs="Times New Roman"/>
          <w:sz w:val="28"/>
          <w:szCs w:val="28"/>
        </w:rPr>
        <w:t>, 2020</w:t>
      </w:r>
    </w:p>
    <w:p w:rsidR="000B1E54" w:rsidRDefault="002E73A2">
      <w:pPr>
        <w:widowControl/>
        <w:jc w:val="lef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:rsidR="000B1E54" w:rsidRDefault="002E73A2">
      <w:pPr>
        <w:spacing w:line="360" w:lineRule="exact"/>
        <w:rPr>
          <w:rFonts w:ascii="Times New Roman" w:eastAsia="华文中宋" w:hAnsi="Times New Roman" w:cs="Times New Roman"/>
          <w:b/>
          <w:sz w:val="28"/>
          <w:szCs w:val="28"/>
        </w:rPr>
      </w:pPr>
      <w:r>
        <w:rPr>
          <w:rFonts w:ascii="Times New Roman" w:eastAsia="华文中宋" w:hAnsi="Times New Roman" w:cs="Times New Roman" w:hint="eastAsia"/>
          <w:b/>
          <w:sz w:val="28"/>
          <w:szCs w:val="28"/>
        </w:rPr>
        <w:lastRenderedPageBreak/>
        <w:t xml:space="preserve">Several </w:t>
      </w:r>
      <w:r>
        <w:rPr>
          <w:rFonts w:ascii="Times New Roman" w:eastAsia="华文中宋" w:hAnsi="Times New Roman" w:cs="Times New Roman"/>
          <w:b/>
          <w:sz w:val="28"/>
          <w:szCs w:val="28"/>
        </w:rPr>
        <w:t>Measures for</w:t>
      </w:r>
      <w:r w:rsidR="00BA3578">
        <w:rPr>
          <w:rFonts w:ascii="Times New Roman" w:eastAsia="华文中宋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华文中宋" w:hAnsi="Times New Roman" w:cs="Times New Roman"/>
          <w:b/>
          <w:sz w:val="28"/>
          <w:szCs w:val="28"/>
        </w:rPr>
        <w:t>F</w:t>
      </w:r>
      <w:r>
        <w:rPr>
          <w:rFonts w:ascii="Times New Roman" w:eastAsia="华文中宋" w:hAnsi="Times New Roman" w:cs="Times New Roman" w:hint="eastAsia"/>
          <w:b/>
          <w:sz w:val="28"/>
          <w:szCs w:val="28"/>
        </w:rPr>
        <w:t xml:space="preserve">urther </w:t>
      </w:r>
      <w:r>
        <w:rPr>
          <w:rFonts w:ascii="Times New Roman" w:eastAsia="华文中宋" w:hAnsi="Times New Roman" w:cs="Times New Roman"/>
          <w:b/>
          <w:sz w:val="28"/>
          <w:szCs w:val="28"/>
        </w:rPr>
        <w:t xml:space="preserve">Deepening the Reform of Business Environment for Cross-border Trade </w:t>
      </w:r>
      <w:r>
        <w:rPr>
          <w:rFonts w:ascii="Times New Roman" w:eastAsia="华文中宋" w:hAnsi="Times New Roman" w:cs="Times New Roman" w:hint="eastAsia"/>
          <w:b/>
          <w:sz w:val="28"/>
          <w:szCs w:val="28"/>
        </w:rPr>
        <w:t>at</w:t>
      </w:r>
      <w:r>
        <w:rPr>
          <w:rFonts w:ascii="Times New Roman" w:eastAsia="华文中宋" w:hAnsi="Times New Roman" w:cs="Times New Roman"/>
          <w:b/>
          <w:sz w:val="28"/>
          <w:szCs w:val="28"/>
        </w:rPr>
        <w:t xml:space="preserve"> Shanghai’s Ports</w:t>
      </w:r>
    </w:p>
    <w:p w:rsidR="000B1E54" w:rsidRDefault="000B1E54">
      <w:pPr>
        <w:spacing w:line="360" w:lineRule="exact"/>
        <w:rPr>
          <w:rFonts w:ascii="Times New Roman" w:eastAsia="华文中宋" w:hAnsi="Times New Roman" w:cs="Times New Roman"/>
          <w:b/>
          <w:sz w:val="28"/>
          <w:szCs w:val="28"/>
        </w:rPr>
      </w:pPr>
    </w:p>
    <w:p w:rsidR="000B1E54" w:rsidRPr="003F463B" w:rsidRDefault="002E73A2">
      <w:pPr>
        <w:spacing w:before="240" w:line="32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For the purposes of thoroughly implementing the guidelines of the State Council as set forth in the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</w:rPr>
        <w:t>Work Plan for Optimizing Port Business</w:t>
      </w:r>
      <w:r w:rsidR="00BA3578">
        <w:rPr>
          <w:rFonts w:ascii="Times New Roman" w:eastAsia="Arial Unicode MS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</w:rPr>
        <w:t>Environment to Enhance Cross-border Trade Facilitation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(No. 37 [2018] of the State Council)and the CPC Shanghai Municipal Committee and Shanghai Municipal People’s Government </w:t>
      </w:r>
      <w:r>
        <w:rPr>
          <w:rFonts w:ascii="Times New Roman" w:eastAsia="Arial Unicode MS" w:hAnsi="Times New Roman" w:cs="Times New Roman"/>
          <w:i/>
          <w:iCs/>
          <w:sz w:val="28"/>
          <w:szCs w:val="28"/>
        </w:rPr>
        <w:t>Circular on Issuing Shanghai’s Implementation Plan on Further Comprehensively Shaping the World-leading Business Environment</w:t>
      </w:r>
      <w:r>
        <w:rPr>
          <w:rFonts w:ascii="Times New Roman" w:eastAsia="Arial Unicode MS" w:hAnsi="Times New Roman" w:cs="Times New Roman"/>
          <w:sz w:val="28"/>
          <w:szCs w:val="28"/>
        </w:rPr>
        <w:t>(No. 1</w:t>
      </w:r>
      <w:r>
        <w:rPr>
          <w:rFonts w:ascii="Times New Roman" w:eastAsia="Arial Unicode MS" w:hAnsi="Times New Roman" w:cs="Times New Roman"/>
          <w:sz w:val="28"/>
          <w:szCs w:val="28"/>
        </w:rPr>
        <w:t>〔</w:t>
      </w:r>
      <w:r>
        <w:rPr>
          <w:rFonts w:ascii="Times New Roman" w:eastAsia="Arial Unicode MS" w:hAnsi="Times New Roman" w:cs="Times New Roman"/>
          <w:sz w:val="28"/>
          <w:szCs w:val="28"/>
        </w:rPr>
        <w:t>2020</w:t>
      </w:r>
      <w:r>
        <w:rPr>
          <w:rFonts w:ascii="Times New Roman" w:eastAsia="Arial Unicode MS" w:hAnsi="Times New Roman" w:cs="Times New Roman"/>
          <w:sz w:val="28"/>
          <w:szCs w:val="28"/>
        </w:rPr>
        <w:t>〕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of the General Office of CPC Shanghai Municipal Committee), the 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>Several Measures for Further Deepening the Reform of Business Environment for Cross-border Trade at Shanghai’s Ports is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 formulated based on the previous 2020 Shanghai special actions to </w:t>
      </w:r>
      <w:r w:rsidRPr="00402A80">
        <w:rPr>
          <w:rFonts w:ascii="Times New Roman" w:eastAsia="Arial Unicode MS" w:hAnsi="Times New Roman" w:cs="Times New Roman"/>
          <w:iCs/>
          <w:sz w:val="28"/>
          <w:szCs w:val="28"/>
        </w:rPr>
        <w:t>optimize</w:t>
      </w:r>
      <w:r w:rsidR="003F463B" w:rsidRPr="00402A80">
        <w:rPr>
          <w:rFonts w:ascii="Times New Roman" w:eastAsia="Arial Unicode MS" w:hAnsi="Times New Roman" w:cs="Times New Roman"/>
          <w:iCs/>
          <w:sz w:val="28"/>
          <w:szCs w:val="28"/>
        </w:rPr>
        <w:t xml:space="preserve"> </w:t>
      </w:r>
      <w:r w:rsidRPr="00402A80">
        <w:rPr>
          <w:rFonts w:ascii="Times New Roman" w:eastAsia="Arial Unicode MS" w:hAnsi="Times New Roman" w:cs="Times New Roman"/>
          <w:iCs/>
          <w:sz w:val="28"/>
          <w:szCs w:val="28"/>
        </w:rPr>
        <w:t xml:space="preserve">business environment for cross-border trade already taken </w:t>
      </w:r>
      <w:r w:rsidR="003F463B" w:rsidRPr="00402A80">
        <w:rPr>
          <w:rFonts w:ascii="Times New Roman" w:eastAsia="Arial Unicode MS" w:hAnsi="Times New Roman" w:cs="Times New Roman"/>
          <w:iCs/>
          <w:sz w:val="28"/>
          <w:szCs w:val="28"/>
        </w:rPr>
        <w:t>under</w:t>
      </w:r>
      <w:r w:rsidRPr="00402A80">
        <w:rPr>
          <w:rFonts w:ascii="Times New Roman" w:eastAsia="Arial Unicode MS" w:hAnsi="Times New Roman" w:cs="Times New Roman"/>
          <w:iCs/>
          <w:sz w:val="28"/>
          <w:szCs w:val="28"/>
        </w:rPr>
        <w:t xml:space="preserve"> the General Administration of Customs</w:t>
      </w:r>
      <w:r w:rsidR="003F463B" w:rsidRPr="00402A80">
        <w:rPr>
          <w:rFonts w:ascii="Times New Roman" w:eastAsia="Arial Unicode MS" w:hAnsi="Times New Roman" w:cs="Times New Roman"/>
          <w:iCs/>
          <w:sz w:val="28"/>
          <w:szCs w:val="28"/>
        </w:rPr>
        <w:t>’ arrangement</w:t>
      </w:r>
      <w:r>
        <w:rPr>
          <w:rFonts w:ascii="Times New Roman" w:eastAsia="Arial Unicode MS" w:hAnsi="Times New Roman" w:cs="Times New Roman"/>
          <w:iCs/>
          <w:sz w:val="28"/>
          <w:szCs w:val="28"/>
        </w:rPr>
        <w:t xml:space="preserve"> in a bid to promote cross-border trade facilitation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B1E54" w:rsidRDefault="002E73A2">
      <w:pPr>
        <w:numPr>
          <w:ilvl w:val="0"/>
          <w:numId w:val="1"/>
        </w:numPr>
        <w:spacing w:before="240" w:line="360" w:lineRule="exact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Further optimization of the ports’ “Clearance + Logistics” operation process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i.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The "two-step declaration"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customs clearance mode for imported goods will be promoted.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The “two-st</w:t>
      </w:r>
      <w:r w:rsidRPr="00F91D6F">
        <w:rPr>
          <w:rFonts w:ascii="Times New Roman" w:eastAsia="Arial Unicode MS" w:hAnsi="Times New Roman" w:cs="Times New Roman"/>
          <w:bCs/>
          <w:sz w:val="28"/>
          <w:szCs w:val="28"/>
        </w:rPr>
        <w:t>ep declaration” mode for imported goods will be promoted while reserving the original declaration mode. Under the “two-step declaration” mode, the imported goods can be quickly picked up after the</w:t>
      </w:r>
      <w:r w:rsidR="00BA3578" w:rsidRPr="00F91D6F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F91D6F">
        <w:rPr>
          <w:rFonts w:ascii="Times New Roman" w:eastAsia="Arial Unicode MS" w:hAnsi="Times New Roman" w:cs="Times New Roman"/>
          <w:bCs/>
          <w:sz w:val="28"/>
          <w:szCs w:val="28"/>
        </w:rPr>
        <w:t>preliminary declaration gets approved by the customs with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54841">
        <w:rPr>
          <w:rFonts w:ascii="Times New Roman" w:eastAsia="Arial Unicode MS" w:hAnsi="Times New Roman" w:cs="Times New Roman"/>
          <w:sz w:val="28"/>
          <w:szCs w:val="28"/>
        </w:rPr>
        <w:t>only</w:t>
      </w:r>
      <w:r w:rsidRPr="00402A80">
        <w:rPr>
          <w:rFonts w:ascii="Times New Roman" w:eastAsia="Arial Unicode MS" w:hAnsi="Times New Roman" w:cs="Times New Roman"/>
          <w:sz w:val="28"/>
          <w:szCs w:val="28"/>
        </w:rPr>
        <w:t xml:space="preserve"> 9 items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to be filed and 2 logistics-related items confirmed. The full declaration would be completed afterwards within the prescribed time.</w:t>
      </w:r>
      <w:r w:rsidR="003F463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B1E54" w:rsidRDefault="002E73A2" w:rsidP="00374762">
      <w:pPr>
        <w:spacing w:beforeLines="50" w:before="156" w:line="32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ii. The </w:t>
      </w:r>
      <w:bookmarkStart w:id="3" w:name="OLE_LINK4"/>
      <w:bookmarkStart w:id="4" w:name="OLE_LINK3"/>
      <w:r>
        <w:rPr>
          <w:rFonts w:ascii="Times New Roman" w:eastAsia="Arial Unicode MS" w:hAnsi="Times New Roman" w:cs="Times New Roman"/>
          <w:b/>
          <w:sz w:val="28"/>
          <w:szCs w:val="28"/>
        </w:rPr>
        <w:t>pre-arrival declaration</w:t>
      </w:r>
      <w:bookmarkEnd w:id="3"/>
      <w:bookmarkEnd w:id="4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for exported goods will be applied in an extensive manner. </w:t>
      </w:r>
      <w:r w:rsidRPr="00402A80">
        <w:rPr>
          <w:rFonts w:ascii="Times New Roman" w:eastAsia="Arial Unicode MS" w:hAnsi="Times New Roman" w:cs="Times New Roman"/>
          <w:bCs/>
          <w:sz w:val="28"/>
          <w:szCs w:val="28"/>
        </w:rPr>
        <w:t xml:space="preserve">The pre-arrival declaration mode </w:t>
      </w:r>
      <w:r w:rsidR="00F91D6F" w:rsidRPr="00402A80">
        <w:rPr>
          <w:rFonts w:ascii="Times New Roman" w:eastAsia="Arial Unicode MS" w:hAnsi="Times New Roman" w:cs="Times New Roman"/>
          <w:bCs/>
          <w:sz w:val="28"/>
          <w:szCs w:val="28"/>
        </w:rPr>
        <w:t xml:space="preserve">for exported goods </w:t>
      </w:r>
      <w:r w:rsidRPr="00402A80">
        <w:rPr>
          <w:rFonts w:ascii="Times New Roman" w:eastAsia="Arial Unicode MS" w:hAnsi="Times New Roman" w:cs="Times New Roman"/>
          <w:bCs/>
          <w:sz w:val="28"/>
          <w:szCs w:val="28"/>
        </w:rPr>
        <w:t>will be applied to a wider range of companies with special focus put on Waigaoqiao Port Area</w:t>
      </w:r>
      <w:r w:rsidR="003F463B" w:rsidRPr="00402A80">
        <w:rPr>
          <w:rFonts w:ascii="Times New Roman" w:eastAsia="Arial Unicode MS" w:hAnsi="Times New Roman" w:cs="Times New Roman" w:hint="eastAsia"/>
          <w:bCs/>
          <w:sz w:val="28"/>
          <w:szCs w:val="28"/>
        </w:rPr>
        <w:t>.</w:t>
      </w:r>
      <w:r w:rsidRPr="00402A80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374762" w:rsidRPr="00402A80">
        <w:rPr>
          <w:rFonts w:ascii="Times New Roman" w:eastAsia="Arial Unicode MS" w:hAnsi="Times New Roman" w:cs="Times New Roman"/>
          <w:sz w:val="28"/>
          <w:szCs w:val="28"/>
        </w:rPr>
        <w:t xml:space="preserve">Under the pre-arrival declaration mode, </w:t>
      </w:r>
      <w:r w:rsidR="00374762" w:rsidRPr="00402A80">
        <w:rPr>
          <w:rFonts w:ascii="Times New Roman" w:eastAsia="Arial Unicode MS" w:hAnsi="Times New Roman" w:cs="Times New Roman"/>
          <w:bCs/>
          <w:sz w:val="28"/>
          <w:szCs w:val="28"/>
        </w:rPr>
        <w:t>c</w:t>
      </w:r>
      <w:r w:rsidR="00F91D6F" w:rsidRPr="00402A80">
        <w:rPr>
          <w:rFonts w:ascii="Times New Roman" w:eastAsia="Arial Unicode MS" w:hAnsi="Times New Roman" w:cs="Times New Roman"/>
          <w:bCs/>
          <w:sz w:val="28"/>
          <w:szCs w:val="28"/>
        </w:rPr>
        <w:t xml:space="preserve">ustoms declaration </w:t>
      </w:r>
      <w:r w:rsidR="00F91D6F" w:rsidRPr="00402A80">
        <w:rPr>
          <w:rFonts w:ascii="Times New Roman" w:eastAsia="Arial Unicode MS" w:hAnsi="Times New Roman" w:cs="Times New Roman" w:hint="eastAsia"/>
          <w:bCs/>
          <w:sz w:val="28"/>
          <w:szCs w:val="28"/>
        </w:rPr>
        <w:t xml:space="preserve">can be </w:t>
      </w:r>
      <w:r w:rsidR="00F91D6F" w:rsidRPr="00402A80">
        <w:rPr>
          <w:rFonts w:ascii="Times New Roman" w:eastAsia="Arial Unicode MS" w:hAnsi="Times New Roman" w:cs="Times New Roman"/>
          <w:bCs/>
          <w:sz w:val="28"/>
          <w:szCs w:val="28"/>
        </w:rPr>
        <w:t>accepted within 3 days before the arrival of goods at the customs supervision</w:t>
      </w:r>
      <w:r w:rsidR="00F91D6F" w:rsidRPr="00402A80">
        <w:rPr>
          <w:rFonts w:ascii="Times New Roman" w:eastAsia="Arial Unicode MS" w:hAnsi="Times New Roman" w:cs="Times New Roman" w:hint="eastAsia"/>
          <w:bCs/>
          <w:sz w:val="28"/>
          <w:szCs w:val="28"/>
        </w:rPr>
        <w:t xml:space="preserve"> </w:t>
      </w:r>
      <w:r w:rsidR="00F91D6F" w:rsidRPr="00402A80">
        <w:rPr>
          <w:rFonts w:ascii="Times New Roman" w:eastAsia="Arial Unicode MS" w:hAnsi="Times New Roman" w:cs="Times New Roman"/>
          <w:bCs/>
          <w:sz w:val="28"/>
          <w:szCs w:val="28"/>
        </w:rPr>
        <w:t xml:space="preserve">site on the condition that the goods are ready, containers are loaded and the digital information </w:t>
      </w:r>
      <w:r w:rsidR="00374762" w:rsidRPr="00402A80">
        <w:rPr>
          <w:rFonts w:ascii="Times New Roman" w:eastAsia="Arial Unicode MS" w:hAnsi="Times New Roman" w:cs="Times New Roman"/>
          <w:bCs/>
          <w:sz w:val="28"/>
          <w:szCs w:val="28"/>
        </w:rPr>
        <w:t>of the pre-allocation</w:t>
      </w:r>
      <w:r w:rsidR="00F91D6F" w:rsidRPr="00402A80">
        <w:rPr>
          <w:rFonts w:ascii="Times New Roman" w:eastAsia="Arial Unicode MS" w:hAnsi="Times New Roman" w:cs="Times New Roman"/>
          <w:bCs/>
          <w:sz w:val="28"/>
          <w:szCs w:val="28"/>
        </w:rPr>
        <w:t xml:space="preserve"> manifest is received. Upon arrival, the goods will be released or inspected by the customs.</w:t>
      </w:r>
      <w:r w:rsidR="0037476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</w:p>
    <w:p w:rsidR="000B1E54" w:rsidRPr="00537AFA" w:rsidRDefault="002E73A2" w:rsidP="001A4952">
      <w:pPr>
        <w:numPr>
          <w:ilvl w:val="255"/>
          <w:numId w:val="0"/>
        </w:numPr>
        <w:spacing w:beforeLines="50" w:before="156" w:line="320" w:lineRule="exact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iii.</w:t>
      </w:r>
      <w:r w:rsidR="00BA357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The pilot programs of “ship-sid</w:t>
      </w:r>
      <w:r w:rsidRPr="00402A80">
        <w:rPr>
          <w:rFonts w:ascii="Times New Roman" w:eastAsia="Arial Unicode MS" w:hAnsi="Times New Roman" w:cs="Times New Roman"/>
          <w:b/>
          <w:sz w:val="28"/>
          <w:szCs w:val="28"/>
        </w:rPr>
        <w:t xml:space="preserve">e </w:t>
      </w:r>
      <w:r w:rsidR="00374762" w:rsidRPr="00402A80">
        <w:rPr>
          <w:rFonts w:ascii="Times New Roman" w:eastAsia="Arial Unicode MS" w:hAnsi="Times New Roman" w:cs="Times New Roman" w:hint="eastAsia"/>
          <w:b/>
          <w:sz w:val="28"/>
          <w:szCs w:val="28"/>
        </w:rPr>
        <w:t>delivery</w:t>
      </w:r>
      <w:r w:rsidRPr="00402A80">
        <w:rPr>
          <w:rFonts w:ascii="Times New Roman" w:eastAsia="Arial Unicode MS" w:hAnsi="Times New Roman" w:cs="Times New Roman"/>
          <w:b/>
          <w:sz w:val="28"/>
          <w:szCs w:val="28"/>
        </w:rPr>
        <w:t xml:space="preserve"> of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exported goods” and “ship-side pick-up of imported goods” will be carried out.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With the assurance of safety in port operations, the pilots of </w:t>
      </w:r>
      <w:r w:rsidR="00374762" w:rsidRPr="00374762">
        <w:rPr>
          <w:rFonts w:ascii="Times New Roman" w:eastAsia="Arial Unicode MS" w:hAnsi="Times New Roman" w:cs="Times New Roman" w:hint="eastAsia"/>
          <w:bCs/>
          <w:sz w:val="28"/>
          <w:szCs w:val="28"/>
        </w:rPr>
        <w:t>“</w:t>
      </w:r>
      <w:r w:rsidR="00374762" w:rsidRPr="00374762">
        <w:rPr>
          <w:rFonts w:ascii="Times New Roman" w:eastAsia="Arial Unicode MS" w:hAnsi="Times New Roman" w:cs="Times New Roman"/>
          <w:bCs/>
          <w:sz w:val="28"/>
          <w:szCs w:val="28"/>
        </w:rPr>
        <w:t xml:space="preserve">ship-side delivery of exported goods” and </w:t>
      </w:r>
      <w:r w:rsidR="00374762" w:rsidRPr="00374762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>“ship-side pick-up of imported goods”</w:t>
      </w:r>
      <w:r w:rsidR="00374762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will be carried out </w:t>
      </w:r>
      <w:r w:rsidR="00374762" w:rsidRPr="00402A80">
        <w:rPr>
          <w:rFonts w:ascii="Times New Roman" w:eastAsia="Arial Unicode MS" w:hAnsi="Times New Roman" w:cs="Times New Roman"/>
          <w:bCs/>
          <w:sz w:val="28"/>
          <w:szCs w:val="28"/>
        </w:rPr>
        <w:t xml:space="preserve">among some specific </w:t>
      </w:r>
      <w:r w:rsidR="00374762" w:rsidRPr="00402A80">
        <w:rPr>
          <w:rFonts w:ascii="Times New Roman" w:eastAsia="Arial Unicode MS" w:hAnsi="Times New Roman" w:cs="Times New Roman" w:hint="eastAsia"/>
          <w:bCs/>
          <w:sz w:val="28"/>
          <w:szCs w:val="28"/>
        </w:rPr>
        <w:t>product</w:t>
      </w:r>
      <w:r w:rsidR="00374762" w:rsidRPr="00402A80">
        <w:rPr>
          <w:rFonts w:ascii="Times New Roman" w:eastAsia="Arial Unicode MS" w:hAnsi="Times New Roman" w:cs="Times New Roman"/>
          <w:bCs/>
          <w:sz w:val="28"/>
          <w:szCs w:val="28"/>
        </w:rPr>
        <w:t xml:space="preserve">s </w:t>
      </w:r>
      <w:r w:rsidRPr="00402A80">
        <w:rPr>
          <w:rFonts w:ascii="Times New Roman" w:eastAsia="Arial Unicode MS" w:hAnsi="Times New Roman" w:cs="Times New Roman"/>
          <w:bCs/>
          <w:sz w:val="28"/>
          <w:szCs w:val="28"/>
        </w:rPr>
        <w:t xml:space="preserve">in an effort to speed up logistics </w:t>
      </w:r>
      <w:r w:rsidR="00374762" w:rsidRPr="00402A80">
        <w:rPr>
          <w:rFonts w:ascii="Times New Roman" w:eastAsia="Arial Unicode MS" w:hAnsi="Times New Roman" w:cs="Times New Roman"/>
          <w:bCs/>
          <w:sz w:val="28"/>
          <w:szCs w:val="28"/>
        </w:rPr>
        <w:t>and</w:t>
      </w:r>
      <w:r w:rsidRPr="00402A80">
        <w:rPr>
          <w:rFonts w:ascii="Times New Roman" w:eastAsia="Arial Unicode MS" w:hAnsi="Times New Roman" w:cs="Times New Roman"/>
          <w:bCs/>
          <w:sz w:val="28"/>
          <w:szCs w:val="28"/>
        </w:rPr>
        <w:t xml:space="preserve"> customs cle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arance. </w:t>
      </w:r>
    </w:p>
    <w:p w:rsidR="000B1E54" w:rsidRDefault="00402A80">
      <w:pPr>
        <w:spacing w:before="240" w:line="360" w:lineRule="exac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fldChar w:fldCharType="begin"/>
      </w:r>
      <w:r>
        <w:rPr>
          <w:rFonts w:ascii="Times New Roman" w:eastAsia="Arial Unicode MS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eastAsia="Arial Unicode MS" w:hAnsi="Times New Roman" w:cs="Times New Roman" w:hint="eastAsia"/>
          <w:b/>
          <w:sz w:val="28"/>
          <w:szCs w:val="28"/>
        </w:rPr>
        <w:instrText>= 2 \* ROMAN</w:instrText>
      </w:r>
      <w:r>
        <w:rPr>
          <w:rFonts w:ascii="Times New Roman" w:eastAsia="Arial Unicode MS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eastAsia="Arial Unicode MS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eastAsia="Arial Unicode MS" w:hAnsi="Times New Roman" w:cs="Times New Roman"/>
          <w:b/>
          <w:noProof/>
          <w:sz w:val="28"/>
          <w:szCs w:val="28"/>
        </w:rPr>
        <w:t>II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fldChar w:fldCharType="end"/>
      </w:r>
      <w:r w:rsidR="002E73A2">
        <w:rPr>
          <w:rFonts w:ascii="Times New Roman" w:eastAsia="Arial Unicode MS" w:hAnsi="Times New Roman" w:cs="Times New Roman"/>
          <w:b/>
          <w:sz w:val="28"/>
          <w:szCs w:val="28"/>
        </w:rPr>
        <w:t>. Further improvement of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2E73A2">
        <w:rPr>
          <w:rFonts w:ascii="Times New Roman" w:eastAsia="Arial Unicode MS" w:hAnsi="Times New Roman" w:cs="Times New Roman"/>
          <w:b/>
          <w:sz w:val="28"/>
          <w:szCs w:val="28"/>
        </w:rPr>
        <w:t>electronic processing through the whole process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iv. E-documents will be further promoted.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With the support of </w:t>
      </w:r>
      <w:r w:rsidR="00537AFA" w:rsidRPr="00402A80">
        <w:rPr>
          <w:rFonts w:ascii="Times New Roman" w:eastAsia="Arial Unicode MS" w:hAnsi="Times New Roman" w:cs="Times New Roman"/>
          <w:sz w:val="28"/>
          <w:szCs w:val="28"/>
        </w:rPr>
        <w:t xml:space="preserve">International Trade </w:t>
      </w:r>
      <w:r w:rsidRPr="00402A80">
        <w:rPr>
          <w:rFonts w:ascii="Times New Roman" w:eastAsia="Arial Unicode MS" w:hAnsi="Times New Roman" w:cs="Times New Roman"/>
          <w:sz w:val="28"/>
          <w:szCs w:val="28"/>
        </w:rPr>
        <w:t>Single Window</w:t>
      </w:r>
      <w:r w:rsidR="00537AFA" w:rsidRPr="00402A8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02A80">
        <w:rPr>
          <w:rFonts w:ascii="Times New Roman" w:eastAsia="Arial Unicode MS" w:hAnsi="Times New Roman" w:cs="Times New Roman"/>
          <w:sz w:val="28"/>
          <w:szCs w:val="28"/>
        </w:rPr>
        <w:t xml:space="preserve">(hereinafter referred to as the Single Window), online processing will be applied to a wider range of </w:t>
      </w:r>
      <w:r w:rsidR="00E57F73" w:rsidRPr="00402A80">
        <w:rPr>
          <w:rFonts w:ascii="Times New Roman" w:eastAsia="Arial Unicode MS" w:hAnsi="Times New Roman" w:cs="Times New Roman"/>
          <w:sz w:val="28"/>
          <w:szCs w:val="28"/>
        </w:rPr>
        <w:t>regulatory</w:t>
      </w:r>
      <w:r w:rsidR="00537AFA" w:rsidRPr="00402A8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02A80">
        <w:rPr>
          <w:rFonts w:ascii="Times New Roman" w:eastAsia="Arial Unicode MS" w:hAnsi="Times New Roman" w:cs="Times New Roman"/>
          <w:sz w:val="28"/>
          <w:szCs w:val="28"/>
        </w:rPr>
        <w:t>documents and certificates. In accorda</w:t>
      </w:r>
      <w:r>
        <w:rPr>
          <w:rFonts w:ascii="Times New Roman" w:eastAsia="Arial Unicode MS" w:hAnsi="Times New Roman" w:cs="Times New Roman"/>
          <w:sz w:val="28"/>
          <w:szCs w:val="28"/>
        </w:rPr>
        <w:t>nce with the dedicated arrangements of the General Administration of Customs, reforms on electronic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inspection and quarantine certificate will be exercised,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where online application of inspection and quarantine certificate for imported goods will be piloted and gradually the certificate can be printed by companies. 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v. Procedures to handle shipping and logistics documents will be streamlined.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Paperless processing will be adopted on the Single Window platform for documents including Letter of Attorney for transfer</w:t>
      </w:r>
      <w:r>
        <w:rPr>
          <w:rFonts w:ascii="Times New Roman" w:eastAsia="Arial Unicode MS" w:hAnsi="Times New Roman" w:cs="Times New Roman" w:hint="eastAsia"/>
          <w:sz w:val="28"/>
          <w:szCs w:val="28"/>
        </w:rPr>
        <w:t>r</w:t>
      </w:r>
      <w:r>
        <w:rPr>
          <w:rFonts w:ascii="Times New Roman" w:eastAsia="Arial Unicode MS" w:hAnsi="Times New Roman" w:cs="Times New Roman"/>
          <w:sz w:val="28"/>
          <w:szCs w:val="28"/>
        </w:rPr>
        <w:t>ing Bill of Lading (hereinafter referred to as B/L)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and Letter of Guarantee for Telex Release. Shipping companies are encouraged to adopt blockchain and other advanced technologies to realize electronic B/L. Pilot programs will be put into practice where export B/L will be signed, issued online and printed by companies on their own. Efforts will be made to streamline B/L to Delivery Order (D/O) handling formalities for imports. Electronic </w:t>
      </w:r>
      <w:r w:rsidR="007A0599">
        <w:rPr>
          <w:rFonts w:ascii="Times New Roman" w:eastAsia="Arial Unicode MS" w:hAnsi="Times New Roman" w:cs="Times New Roman"/>
          <w:sz w:val="28"/>
          <w:szCs w:val="28"/>
        </w:rPr>
        <w:t xml:space="preserve">of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receipts for terminal handling (including VAT invoice) will increase. 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vi. The application of "automatic auxiliary declaration system for auto parts" will be promoted. </w:t>
      </w:r>
      <w:r>
        <w:rPr>
          <w:rFonts w:ascii="Times New Roman" w:eastAsia="Arial Unicode MS" w:hAnsi="Times New Roman" w:cs="Times New Roman"/>
          <w:sz w:val="28"/>
          <w:szCs w:val="28"/>
        </w:rPr>
        <w:t>The formalities of customs declaration for auto parts will be simplified by a wider use of "automatic auxiliary declaration system for automobile parts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"on the Single Window platform, where an enterprise can get all elements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automatically filled for customs declaration by a simple entry of the identification number of auto parts.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vii. Electronic container release for imports and exports will be piloted. </w:t>
      </w:r>
      <w:r>
        <w:rPr>
          <w:rFonts w:ascii="Times New Roman" w:eastAsia="Arial Unicode MS" w:hAnsi="Times New Roman" w:cs="Times New Roman"/>
          <w:sz w:val="28"/>
          <w:szCs w:val="28"/>
        </w:rPr>
        <w:t>Electronic container management systems of various shipping companies will be connected to Shanghai International Port Group’s e-EIR platform and Shanghai E-Port platform in a bid to simplify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container release procedures. Electronic container release and round-the-clock service for container release will be experimented.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viii. Intensive distribution of </w:t>
      </w:r>
      <w:r w:rsidRPr="00402A80">
        <w:rPr>
          <w:rFonts w:ascii="Times New Roman" w:eastAsia="Arial Unicode MS" w:hAnsi="Times New Roman" w:cs="Times New Roman"/>
          <w:b/>
          <w:sz w:val="28"/>
          <w:szCs w:val="28"/>
        </w:rPr>
        <w:t>seals for containers will be promoted.</w:t>
      </w:r>
      <w:r w:rsidRPr="00402A80">
        <w:rPr>
          <w:rFonts w:ascii="Times New Roman" w:eastAsia="Arial Unicode MS" w:hAnsi="Times New Roman" w:cs="Times New Roman"/>
          <w:sz w:val="28"/>
          <w:szCs w:val="28"/>
        </w:rPr>
        <w:t xml:space="preserve"> The efficiency of seals’ distribution w</w:t>
      </w:r>
      <w:r>
        <w:rPr>
          <w:rFonts w:ascii="Times New Roman" w:eastAsia="Arial Unicode MS" w:hAnsi="Times New Roman" w:cs="Times New Roman"/>
          <w:sz w:val="28"/>
          <w:szCs w:val="28"/>
        </w:rPr>
        <w:t>ill be improved. Shipping companies are encouraged to distribute seals at container yards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or to cooperate with logistics platforms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to achieve intensive distribution of seals by means of information technology.</w:t>
      </w:r>
      <w:r w:rsidR="007A059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ix. Paperless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port operations will be promoted.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To further improve on customer experience,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E-D/O function </w:t>
      </w:r>
      <w:r w:rsidR="007A0599" w:rsidRPr="00402A80">
        <w:rPr>
          <w:rFonts w:ascii="Times New Roman" w:eastAsia="Arial Unicode MS" w:hAnsi="Times New Roman" w:cs="Times New Roman"/>
          <w:sz w:val="28"/>
          <w:szCs w:val="28"/>
        </w:rPr>
        <w:t>has been</w:t>
      </w:r>
      <w:r w:rsidRPr="00402A80">
        <w:rPr>
          <w:rFonts w:ascii="Times New Roman" w:eastAsia="Arial Unicode MS" w:hAnsi="Times New Roman" w:cs="Times New Roman"/>
          <w:sz w:val="28"/>
          <w:szCs w:val="28"/>
        </w:rPr>
        <w:t xml:space="preserve"> launched at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the Shanghai ports to optimize services and online platforms for paperless port operations. Also, the role of systems harmonization as well as data and information sharing will be promoted.</w:t>
      </w:r>
      <w:r w:rsidR="007A059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bookmarkStart w:id="5" w:name="_GoBack"/>
      <w:bookmarkEnd w:id="5"/>
    </w:p>
    <w:p w:rsidR="000B1E54" w:rsidRDefault="00402A80">
      <w:pPr>
        <w:spacing w:before="240" w:line="360" w:lineRule="exac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fldChar w:fldCharType="begin"/>
      </w:r>
      <w:r>
        <w:rPr>
          <w:rFonts w:ascii="Times New Roman" w:eastAsia="Arial Unicode MS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eastAsia="Arial Unicode MS" w:hAnsi="Times New Roman" w:cs="Times New Roman" w:hint="eastAsia"/>
          <w:b/>
          <w:sz w:val="28"/>
          <w:szCs w:val="28"/>
        </w:rPr>
        <w:instrText>= 3 \* ROMAN</w:instrText>
      </w:r>
      <w:r>
        <w:rPr>
          <w:rFonts w:ascii="Times New Roman" w:eastAsia="Arial Unicode MS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eastAsia="Arial Unicode MS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eastAsia="Arial Unicode MS" w:hAnsi="Times New Roman" w:cs="Times New Roman"/>
          <w:b/>
          <w:noProof/>
          <w:sz w:val="28"/>
          <w:szCs w:val="28"/>
        </w:rPr>
        <w:t>III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fldChar w:fldCharType="end"/>
      </w:r>
      <w:r w:rsidR="002E73A2">
        <w:rPr>
          <w:rFonts w:ascii="Times New Roman" w:eastAsia="Arial Unicode MS" w:hAnsi="Times New Roman" w:cs="Times New Roman"/>
          <w:b/>
          <w:sz w:val="28"/>
          <w:szCs w:val="28"/>
        </w:rPr>
        <w:t>. Further optimization on customs supervision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x. The "mistake-tolerant mechanism" for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enterprises will be optimized.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Non-subjective declaration errors and violations that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are disclosed by enterprises on a voluntary basis shall be promptly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dealt with under unified identification criteria. Once identified, such declaration errors are either not to be recorded, or, in accordance with the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laws and regulations,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resulting in reduced or zero punishment.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xi. Customs inspection operations will be optimized.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Manual review for declarations will be reduced. </w:t>
      </w:r>
      <w:r w:rsidRPr="00402A80">
        <w:rPr>
          <w:rFonts w:ascii="Times New Roman" w:eastAsia="Arial Unicode MS" w:hAnsi="Times New Roman" w:cs="Times New Roman"/>
          <w:sz w:val="28"/>
          <w:szCs w:val="28"/>
        </w:rPr>
        <w:t>The mechanism of randomly sampled</w:t>
      </w:r>
      <w:r w:rsidR="00BA3578" w:rsidRPr="00402A8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02A80">
        <w:rPr>
          <w:rFonts w:ascii="Times New Roman" w:eastAsia="Arial Unicode MS" w:hAnsi="Times New Roman" w:cs="Times New Roman"/>
          <w:sz w:val="28"/>
          <w:szCs w:val="28"/>
        </w:rPr>
        <w:t>inspections will be optimized</w:t>
      </w:r>
      <w:r w:rsidR="007A0599" w:rsidRPr="00402A80">
        <w:rPr>
          <w:rFonts w:ascii="Times New Roman" w:eastAsia="Arial Unicode MS" w:hAnsi="Times New Roman" w:cs="Times New Roman"/>
          <w:sz w:val="28"/>
          <w:szCs w:val="28"/>
        </w:rPr>
        <w:t xml:space="preserve"> and the overall inspection</w:t>
      </w:r>
      <w:r w:rsidR="007A0599" w:rsidRPr="00402A80">
        <w:rPr>
          <w:rFonts w:ascii="Times New Roman" w:eastAsia="Arial Unicode MS" w:hAnsi="Times New Roman" w:cs="Times New Roman" w:hint="eastAsia"/>
          <w:sz w:val="28"/>
          <w:szCs w:val="28"/>
        </w:rPr>
        <w:t xml:space="preserve"> rate</w:t>
      </w:r>
      <w:r w:rsidR="007A0599" w:rsidRPr="00402A80">
        <w:rPr>
          <w:rFonts w:ascii="Times New Roman" w:eastAsia="Arial Unicode MS" w:hAnsi="Times New Roman" w:cs="Times New Roman"/>
          <w:sz w:val="28"/>
          <w:szCs w:val="28"/>
        </w:rPr>
        <w:t xml:space="preserve"> will be </w:t>
      </w:r>
      <w:r w:rsidR="002C28AC" w:rsidRPr="00402A80">
        <w:rPr>
          <w:rFonts w:ascii="Times New Roman" w:eastAsia="Arial Unicode MS" w:hAnsi="Times New Roman" w:cs="Times New Roman"/>
          <w:sz w:val="28"/>
          <w:szCs w:val="28"/>
        </w:rPr>
        <w:t>lowered</w:t>
      </w:r>
      <w:r w:rsidR="007A0599" w:rsidRPr="00402A80">
        <w:rPr>
          <w:rFonts w:ascii="Times New Roman" w:eastAsia="Arial Unicode MS" w:hAnsi="Times New Roman" w:cs="Times New Roman"/>
          <w:sz w:val="28"/>
          <w:szCs w:val="28"/>
        </w:rPr>
        <w:t>.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Centralized image </w:t>
      </w:r>
      <w:r w:rsidR="002C28AC">
        <w:rPr>
          <w:rFonts w:ascii="Times New Roman" w:eastAsia="Arial Unicode MS" w:hAnsi="Times New Roman" w:cs="Times New Roman"/>
          <w:sz w:val="28"/>
          <w:szCs w:val="28"/>
        </w:rPr>
        <w:t>recognition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mode will be promoted and </w:t>
      </w:r>
      <w:r w:rsidR="002C28AC" w:rsidRPr="002C28AC">
        <w:rPr>
          <w:rFonts w:ascii="Times New Roman" w:eastAsia="Arial Unicode MS" w:hAnsi="Times New Roman" w:cs="Times New Roman" w:hint="eastAsia"/>
          <w:sz w:val="28"/>
          <w:szCs w:val="28"/>
        </w:rPr>
        <w:t xml:space="preserve">AI </w:t>
      </w:r>
      <w:r w:rsidR="002C28AC" w:rsidRPr="002C28AC">
        <w:rPr>
          <w:rFonts w:ascii="Times New Roman" w:eastAsia="Arial Unicode MS" w:hAnsi="Times New Roman" w:cs="Times New Roman"/>
          <w:sz w:val="28"/>
          <w:szCs w:val="28"/>
        </w:rPr>
        <w:t>image recognition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will be adopted</w:t>
      </w:r>
      <w:r w:rsidR="002C28AC">
        <w:rPr>
          <w:rFonts w:ascii="Times New Roman" w:eastAsia="Arial Unicode MS" w:hAnsi="Times New Roman" w:cs="Times New Roman"/>
          <w:sz w:val="28"/>
          <w:szCs w:val="28"/>
        </w:rPr>
        <w:t xml:space="preserve"> for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greater scope of </w:t>
      </w:r>
      <w:r w:rsidR="002C28AC">
        <w:rPr>
          <w:rFonts w:ascii="Times New Roman" w:eastAsia="Arial Unicode MS" w:hAnsi="Times New Roman" w:cs="Times New Roman"/>
          <w:sz w:val="28"/>
          <w:szCs w:val="28"/>
        </w:rPr>
        <w:t>products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="002C28A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xii. Enterprises’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presence for inspections will be optimized.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Whole-process video monitoring and recording system at inspection sites will be optimized, allowing enterprises to choose a preferred mode to be present in customs inspections, thus bringing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convenience to enterprises.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xiii.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The upgrading of inspection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platforms at the ports will be accelerated.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The development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and upgrading of inspection platforms within the surveillance zone at seaports will be accelerated.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Inspection sites and operating areas of various functions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will be arranged in a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standardized manner so as to further optimize the inspection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environment at Shanghai’s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ports.</w:t>
      </w:r>
    </w:p>
    <w:p w:rsidR="000B1E54" w:rsidRDefault="000B1E54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0B1E54" w:rsidRDefault="00402A80">
      <w:pPr>
        <w:spacing w:before="240" w:line="360" w:lineRule="exac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fldChar w:fldCharType="begin"/>
      </w:r>
      <w:r>
        <w:rPr>
          <w:rFonts w:ascii="Times New Roman" w:eastAsia="Arial Unicode MS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eastAsia="Arial Unicode MS" w:hAnsi="Times New Roman" w:cs="Times New Roman" w:hint="eastAsia"/>
          <w:b/>
          <w:sz w:val="28"/>
          <w:szCs w:val="28"/>
        </w:rPr>
        <w:instrText>= 4 \* ROMAN</w:instrText>
      </w:r>
      <w:r>
        <w:rPr>
          <w:rFonts w:ascii="Times New Roman" w:eastAsia="Arial Unicode MS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eastAsia="Arial Unicode MS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eastAsia="Arial Unicode MS" w:hAnsi="Times New Roman" w:cs="Times New Roman"/>
          <w:b/>
          <w:noProof/>
          <w:sz w:val="28"/>
          <w:szCs w:val="28"/>
        </w:rPr>
        <w:t>IV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fldChar w:fldCharType="end"/>
      </w:r>
      <w:r w:rsidR="002E73A2">
        <w:rPr>
          <w:rFonts w:ascii="Times New Roman" w:eastAsia="Arial Unicode MS" w:hAnsi="Times New Roman" w:cs="Times New Roman"/>
          <w:b/>
          <w:sz w:val="28"/>
          <w:szCs w:val="28"/>
        </w:rPr>
        <w:t>. Further regulation and reduction in port-related charges</w:t>
      </w:r>
    </w:p>
    <w:p w:rsidR="000B1E54" w:rsidRDefault="002E73A2">
      <w:pPr>
        <w:numPr>
          <w:ilvl w:val="255"/>
          <w:numId w:val="0"/>
        </w:num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xiv. Port-related charges will be further regulated.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Port operators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will be guided towards further reduction of service charges by means of market-based mechanisms, price monitoring and setting of industry standards. Charges for quarantine treatments such as fumigation and disinfection will be further regulated. Supervision on unregulated charges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at container yards and on unchecked charges for washing and repairing of containers will be intensified.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Service fee chart mechanism at the ports will be improved and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dynamically managed with reduced item.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xv. The policy of refunding of local share of port construction fee to the payers will be implemented on the ground.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Enterprises can apply forport construction fee refund at the Single Window. In the same time, Shanghai municipality will request with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line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ministries and commissions at the central level for direct exemption of the local share of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port construction fee upon payment.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xvi. Shipping companies will be encouraged to adjust the structure of charges.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Through strengthened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communication and coordination, shipping companies will be encouraged to adjust the items of charges and pricing standards to better reflect the practical operating costs, thus achieving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optimization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of sea freights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structure.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xvii. The function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of charges inquiry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at the Single Window will be enabled.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The Single Window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will be connected with SIPG’s online platform to enable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enterprises’ inquires at the Single Window about payment records concerning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the port services, shipping agents, tally and inspections. "One-stop sunshine pricing"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for port service charges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will be published and promoted at the Single Window.</w:t>
      </w:r>
    </w:p>
    <w:p w:rsidR="000B1E54" w:rsidRDefault="000B1E54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V. Further improvement on the predictability of port services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xviii. The special windows for complicated declarations will be better utilized.</w:t>
      </w:r>
      <w:r w:rsidR="00BA357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In addition to the existing 12360 customs service hotline and on-site customs clearance consultation windows, special windows for complicated declarations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should play an active role in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monitoring and processing various types of time-consuming customs declarations, answering difficult questions in time, keeping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close contact with </w:t>
      </w:r>
      <w:r w:rsidRPr="00402A80">
        <w:rPr>
          <w:rFonts w:ascii="Times New Roman" w:eastAsia="Arial Unicode MS" w:hAnsi="Times New Roman" w:cs="Times New Roman"/>
          <w:sz w:val="28"/>
          <w:szCs w:val="28"/>
        </w:rPr>
        <w:t>import</w:t>
      </w:r>
      <w:r w:rsidR="002C28AC" w:rsidRPr="00402A80">
        <w:rPr>
          <w:rFonts w:ascii="Times New Roman" w:eastAsia="Arial Unicode MS" w:hAnsi="Times New Roman" w:cs="Times New Roman"/>
          <w:sz w:val="28"/>
          <w:szCs w:val="28"/>
        </w:rPr>
        <w:t>ers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and exporters as well as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collecting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demands and recommendations, thereby improving customs clearance efficiency.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xix. Detailed processing time limits for port operations will be published.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The processing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time limit system for port operations should be strictly complied. Detailed time limits for operations such as loading and unloading, on-site transshipment, hoisting and shifting, unstuffing, restuffing and pick-ups should be set and published at the Single Window and on the</w:t>
      </w:r>
      <w:r w:rsidR="00BA35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sites where transparency is to be improved and enterprises can make reasonable anticipations.</w:t>
      </w:r>
    </w:p>
    <w:p w:rsidR="000B1E54" w:rsidRDefault="002E73A2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Specific requirements and rules for implementation concerning the above-mentioned measures shall be announced separately by relevant government departments and units.</w:t>
      </w:r>
    </w:p>
    <w:p w:rsidR="000B1E54" w:rsidRDefault="000B1E54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</w:p>
    <w:p w:rsidR="000B1E54" w:rsidRDefault="000B1E54">
      <w:pPr>
        <w:spacing w:before="240" w:line="360" w:lineRule="exact"/>
        <w:rPr>
          <w:rFonts w:ascii="Times New Roman" w:eastAsia="Arial Unicode MS" w:hAnsi="Times New Roman" w:cs="Times New Roman"/>
          <w:sz w:val="28"/>
          <w:szCs w:val="28"/>
        </w:rPr>
      </w:pPr>
    </w:p>
    <w:sectPr w:rsidR="000B1E54" w:rsidSect="000B1E54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7B5" w:rsidRDefault="00B747B5" w:rsidP="001A4952">
      <w:r>
        <w:separator/>
      </w:r>
    </w:p>
  </w:endnote>
  <w:endnote w:type="continuationSeparator" w:id="0">
    <w:p w:rsidR="00B747B5" w:rsidRDefault="00B747B5" w:rsidP="001A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7B5" w:rsidRDefault="00B747B5" w:rsidP="001A4952">
      <w:r>
        <w:separator/>
      </w:r>
    </w:p>
  </w:footnote>
  <w:footnote w:type="continuationSeparator" w:id="0">
    <w:p w:rsidR="00B747B5" w:rsidRDefault="00B747B5" w:rsidP="001A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25B6"/>
    <w:multiLevelType w:val="singleLevel"/>
    <w:tmpl w:val="5DAD25B6"/>
    <w:lvl w:ilvl="0">
      <w:start w:val="1"/>
      <w:numFmt w:val="upperRoman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BC"/>
    <w:rsid w:val="86EADBD5"/>
    <w:rsid w:val="89EFA125"/>
    <w:rsid w:val="956D4DF3"/>
    <w:rsid w:val="9799DFCF"/>
    <w:rsid w:val="995AC3D0"/>
    <w:rsid w:val="9CFEDF08"/>
    <w:rsid w:val="9DDD5648"/>
    <w:rsid w:val="9DFFFAFF"/>
    <w:rsid w:val="9FDEBA4B"/>
    <w:rsid w:val="9FF26EC2"/>
    <w:rsid w:val="A3EF5963"/>
    <w:rsid w:val="A5FE7360"/>
    <w:rsid w:val="A6479354"/>
    <w:rsid w:val="A7AF7E44"/>
    <w:rsid w:val="A8FF9F13"/>
    <w:rsid w:val="AF3BD75B"/>
    <w:rsid w:val="AFDDA16B"/>
    <w:rsid w:val="AFFE263D"/>
    <w:rsid w:val="B5BD5A2A"/>
    <w:rsid w:val="B75FEED7"/>
    <w:rsid w:val="B7EB1D7B"/>
    <w:rsid w:val="BB7F798F"/>
    <w:rsid w:val="BCD798BD"/>
    <w:rsid w:val="BDF75DB7"/>
    <w:rsid w:val="BF75C982"/>
    <w:rsid w:val="BF7D6E88"/>
    <w:rsid w:val="BFB5424C"/>
    <w:rsid w:val="BFFB6C24"/>
    <w:rsid w:val="C5DB3D0B"/>
    <w:rsid w:val="CDEF7437"/>
    <w:rsid w:val="CFFEB190"/>
    <w:rsid w:val="CFFF1552"/>
    <w:rsid w:val="CFFF2553"/>
    <w:rsid w:val="D25F6ACD"/>
    <w:rsid w:val="D6C76C38"/>
    <w:rsid w:val="D7431D29"/>
    <w:rsid w:val="D77E9B60"/>
    <w:rsid w:val="D7FF3484"/>
    <w:rsid w:val="DAF23CC9"/>
    <w:rsid w:val="DCE774B6"/>
    <w:rsid w:val="DD6A681B"/>
    <w:rsid w:val="DD7FB5C8"/>
    <w:rsid w:val="DFCB08E4"/>
    <w:rsid w:val="DFE9DA9E"/>
    <w:rsid w:val="DFFBB10D"/>
    <w:rsid w:val="DFFF1774"/>
    <w:rsid w:val="E1E3B140"/>
    <w:rsid w:val="E1FB7713"/>
    <w:rsid w:val="E2FFD851"/>
    <w:rsid w:val="E3738D50"/>
    <w:rsid w:val="E3FF384A"/>
    <w:rsid w:val="E4AF1369"/>
    <w:rsid w:val="E5FE4138"/>
    <w:rsid w:val="E5FF52D8"/>
    <w:rsid w:val="E6BFACE8"/>
    <w:rsid w:val="E9FED564"/>
    <w:rsid w:val="ED7E96A7"/>
    <w:rsid w:val="EDABA751"/>
    <w:rsid w:val="EDDD7D2F"/>
    <w:rsid w:val="EE2FE1CD"/>
    <w:rsid w:val="EF5BF3A0"/>
    <w:rsid w:val="EF731D80"/>
    <w:rsid w:val="EFB50AA4"/>
    <w:rsid w:val="EFBE87DC"/>
    <w:rsid w:val="EFED75D4"/>
    <w:rsid w:val="EFFE43CF"/>
    <w:rsid w:val="F0F55144"/>
    <w:rsid w:val="F1FEA46D"/>
    <w:rsid w:val="F2EF25CD"/>
    <w:rsid w:val="F3DD654C"/>
    <w:rsid w:val="F3FB3F8B"/>
    <w:rsid w:val="F5BC3716"/>
    <w:rsid w:val="F5DE315D"/>
    <w:rsid w:val="F65F967F"/>
    <w:rsid w:val="F6BFE0C9"/>
    <w:rsid w:val="F7012F0B"/>
    <w:rsid w:val="F73BD2C6"/>
    <w:rsid w:val="F7579646"/>
    <w:rsid w:val="F778B50E"/>
    <w:rsid w:val="F77F3B3C"/>
    <w:rsid w:val="F7E6F624"/>
    <w:rsid w:val="F8FFDECF"/>
    <w:rsid w:val="F9F7ED8D"/>
    <w:rsid w:val="FBDE7373"/>
    <w:rsid w:val="FBEF22BA"/>
    <w:rsid w:val="FBFF114C"/>
    <w:rsid w:val="FCAF2D1D"/>
    <w:rsid w:val="FD512544"/>
    <w:rsid w:val="FD7DF6BC"/>
    <w:rsid w:val="FDDB4AE3"/>
    <w:rsid w:val="FDFD6F5A"/>
    <w:rsid w:val="FEEF2EE5"/>
    <w:rsid w:val="FEEF4E08"/>
    <w:rsid w:val="FF2F5ED4"/>
    <w:rsid w:val="FF408F5C"/>
    <w:rsid w:val="FF99E98A"/>
    <w:rsid w:val="FF9E9EB6"/>
    <w:rsid w:val="FFBF69D4"/>
    <w:rsid w:val="FFE552A5"/>
    <w:rsid w:val="FFEBA2BF"/>
    <w:rsid w:val="FFF4426B"/>
    <w:rsid w:val="FFF5E451"/>
    <w:rsid w:val="FFF9B070"/>
    <w:rsid w:val="FFFB30E0"/>
    <w:rsid w:val="FFFE83CC"/>
    <w:rsid w:val="FFFFD7AD"/>
    <w:rsid w:val="FFFFFF82"/>
    <w:rsid w:val="000979E4"/>
    <w:rsid w:val="000B1E54"/>
    <w:rsid w:val="000C0E4B"/>
    <w:rsid w:val="000F6BD9"/>
    <w:rsid w:val="0010204D"/>
    <w:rsid w:val="00143C08"/>
    <w:rsid w:val="001651A9"/>
    <w:rsid w:val="00187AD3"/>
    <w:rsid w:val="001A4952"/>
    <w:rsid w:val="001C2DE4"/>
    <w:rsid w:val="001C6406"/>
    <w:rsid w:val="001E48B3"/>
    <w:rsid w:val="001F5202"/>
    <w:rsid w:val="00202098"/>
    <w:rsid w:val="0020449E"/>
    <w:rsid w:val="00207C17"/>
    <w:rsid w:val="0024351E"/>
    <w:rsid w:val="00266EC6"/>
    <w:rsid w:val="00270EB4"/>
    <w:rsid w:val="00297583"/>
    <w:rsid w:val="002C28AC"/>
    <w:rsid w:val="002E0744"/>
    <w:rsid w:val="002E73A2"/>
    <w:rsid w:val="002E793C"/>
    <w:rsid w:val="0030119B"/>
    <w:rsid w:val="00352420"/>
    <w:rsid w:val="0036693F"/>
    <w:rsid w:val="00374762"/>
    <w:rsid w:val="003B39E1"/>
    <w:rsid w:val="003E2D60"/>
    <w:rsid w:val="003F463B"/>
    <w:rsid w:val="003F5130"/>
    <w:rsid w:val="00402A80"/>
    <w:rsid w:val="004235F0"/>
    <w:rsid w:val="00424368"/>
    <w:rsid w:val="00454841"/>
    <w:rsid w:val="004849D5"/>
    <w:rsid w:val="00497128"/>
    <w:rsid w:val="00501D21"/>
    <w:rsid w:val="0050712A"/>
    <w:rsid w:val="0051462B"/>
    <w:rsid w:val="00537AFA"/>
    <w:rsid w:val="0056222A"/>
    <w:rsid w:val="005B1A7C"/>
    <w:rsid w:val="005C6D27"/>
    <w:rsid w:val="005E5065"/>
    <w:rsid w:val="00602A38"/>
    <w:rsid w:val="006074D3"/>
    <w:rsid w:val="0064155F"/>
    <w:rsid w:val="006535D6"/>
    <w:rsid w:val="00672FFD"/>
    <w:rsid w:val="0068400C"/>
    <w:rsid w:val="006D380B"/>
    <w:rsid w:val="006F4E9A"/>
    <w:rsid w:val="007231A9"/>
    <w:rsid w:val="00752EF3"/>
    <w:rsid w:val="00757507"/>
    <w:rsid w:val="00761271"/>
    <w:rsid w:val="00796A35"/>
    <w:rsid w:val="007A0599"/>
    <w:rsid w:val="007C2706"/>
    <w:rsid w:val="007C30F4"/>
    <w:rsid w:val="007C404E"/>
    <w:rsid w:val="007E232D"/>
    <w:rsid w:val="007E7BA2"/>
    <w:rsid w:val="008048A8"/>
    <w:rsid w:val="00825918"/>
    <w:rsid w:val="00831CDF"/>
    <w:rsid w:val="00845CD1"/>
    <w:rsid w:val="00850189"/>
    <w:rsid w:val="0088436B"/>
    <w:rsid w:val="008E08BC"/>
    <w:rsid w:val="008E525F"/>
    <w:rsid w:val="008E7D86"/>
    <w:rsid w:val="008F7F89"/>
    <w:rsid w:val="009069D7"/>
    <w:rsid w:val="00915331"/>
    <w:rsid w:val="009449C4"/>
    <w:rsid w:val="00961F7C"/>
    <w:rsid w:val="00962E59"/>
    <w:rsid w:val="009F3947"/>
    <w:rsid w:val="009F4F20"/>
    <w:rsid w:val="009F7EBE"/>
    <w:rsid w:val="00A21106"/>
    <w:rsid w:val="00A458D5"/>
    <w:rsid w:val="00A6270B"/>
    <w:rsid w:val="00A73B98"/>
    <w:rsid w:val="00A760EB"/>
    <w:rsid w:val="00A83E40"/>
    <w:rsid w:val="00A96754"/>
    <w:rsid w:val="00AB5EF7"/>
    <w:rsid w:val="00AD03CC"/>
    <w:rsid w:val="00AD5BBC"/>
    <w:rsid w:val="00AE6229"/>
    <w:rsid w:val="00B0675B"/>
    <w:rsid w:val="00B23C39"/>
    <w:rsid w:val="00B3311A"/>
    <w:rsid w:val="00B4791B"/>
    <w:rsid w:val="00B747B5"/>
    <w:rsid w:val="00BA1CB2"/>
    <w:rsid w:val="00BA3578"/>
    <w:rsid w:val="00BC3587"/>
    <w:rsid w:val="00BD3C03"/>
    <w:rsid w:val="00BE4645"/>
    <w:rsid w:val="00C0066E"/>
    <w:rsid w:val="00C0240C"/>
    <w:rsid w:val="00C461FD"/>
    <w:rsid w:val="00C470F8"/>
    <w:rsid w:val="00C914B6"/>
    <w:rsid w:val="00CD010E"/>
    <w:rsid w:val="00D11F9A"/>
    <w:rsid w:val="00D53D94"/>
    <w:rsid w:val="00D960F9"/>
    <w:rsid w:val="00DE623E"/>
    <w:rsid w:val="00E045A3"/>
    <w:rsid w:val="00E27D0A"/>
    <w:rsid w:val="00E3288D"/>
    <w:rsid w:val="00E56C65"/>
    <w:rsid w:val="00E57F73"/>
    <w:rsid w:val="00EB0C9C"/>
    <w:rsid w:val="00F055E1"/>
    <w:rsid w:val="00F1391A"/>
    <w:rsid w:val="00F249CC"/>
    <w:rsid w:val="00F91D6F"/>
    <w:rsid w:val="00FD459D"/>
    <w:rsid w:val="00FF1B28"/>
    <w:rsid w:val="12FB1CB0"/>
    <w:rsid w:val="1965DD69"/>
    <w:rsid w:val="19EF8BB5"/>
    <w:rsid w:val="1BDF67DA"/>
    <w:rsid w:val="1EFF16AE"/>
    <w:rsid w:val="1F5A5BAE"/>
    <w:rsid w:val="1FBB5F4E"/>
    <w:rsid w:val="25B7E7E0"/>
    <w:rsid w:val="29EE4BB8"/>
    <w:rsid w:val="2AF5E937"/>
    <w:rsid w:val="2EF7A688"/>
    <w:rsid w:val="2F7B5212"/>
    <w:rsid w:val="2FFFBF31"/>
    <w:rsid w:val="367B72F0"/>
    <w:rsid w:val="370FDA42"/>
    <w:rsid w:val="39EF4D42"/>
    <w:rsid w:val="3A7F8077"/>
    <w:rsid w:val="3B5A3506"/>
    <w:rsid w:val="3D7EA108"/>
    <w:rsid w:val="3D7F6DAC"/>
    <w:rsid w:val="3DF9B83B"/>
    <w:rsid w:val="3DFD0274"/>
    <w:rsid w:val="3E749FC1"/>
    <w:rsid w:val="3E8D720B"/>
    <w:rsid w:val="3EFEDDB3"/>
    <w:rsid w:val="3FEF846D"/>
    <w:rsid w:val="3FFD2AD1"/>
    <w:rsid w:val="3FFFD895"/>
    <w:rsid w:val="479E186F"/>
    <w:rsid w:val="47FFD606"/>
    <w:rsid w:val="4BECE4F0"/>
    <w:rsid w:val="4D3ECB13"/>
    <w:rsid w:val="4DC75DED"/>
    <w:rsid w:val="4FEFAC16"/>
    <w:rsid w:val="530E4E9D"/>
    <w:rsid w:val="57DF2C0E"/>
    <w:rsid w:val="59BFAA6E"/>
    <w:rsid w:val="59FF4E5B"/>
    <w:rsid w:val="5AD90A8E"/>
    <w:rsid w:val="5B4CA3A2"/>
    <w:rsid w:val="5BF269CE"/>
    <w:rsid w:val="5BFDCEAB"/>
    <w:rsid w:val="5BFF17EF"/>
    <w:rsid w:val="5D6F0426"/>
    <w:rsid w:val="5D765BBF"/>
    <w:rsid w:val="5D9FC375"/>
    <w:rsid w:val="5EEC6B48"/>
    <w:rsid w:val="5F7EC5FB"/>
    <w:rsid w:val="5FD3D8B8"/>
    <w:rsid w:val="5FED7F33"/>
    <w:rsid w:val="5FEEA38C"/>
    <w:rsid w:val="5FF39066"/>
    <w:rsid w:val="5FF685CD"/>
    <w:rsid w:val="5FFBE4FF"/>
    <w:rsid w:val="5FFD41C1"/>
    <w:rsid w:val="5FFFA96D"/>
    <w:rsid w:val="5FFFC8E1"/>
    <w:rsid w:val="5FFFF8C5"/>
    <w:rsid w:val="65AE9597"/>
    <w:rsid w:val="66366756"/>
    <w:rsid w:val="66ED28F6"/>
    <w:rsid w:val="67F735BA"/>
    <w:rsid w:val="67FF7695"/>
    <w:rsid w:val="68F7C642"/>
    <w:rsid w:val="6A935832"/>
    <w:rsid w:val="6BE83B77"/>
    <w:rsid w:val="6BFFBFDD"/>
    <w:rsid w:val="6DFF9038"/>
    <w:rsid w:val="6E3F29B9"/>
    <w:rsid w:val="6E792F8E"/>
    <w:rsid w:val="6EDF94A1"/>
    <w:rsid w:val="6F6FED92"/>
    <w:rsid w:val="6FCF4FD9"/>
    <w:rsid w:val="72FEF1A4"/>
    <w:rsid w:val="757FE908"/>
    <w:rsid w:val="75BF8405"/>
    <w:rsid w:val="76C70C29"/>
    <w:rsid w:val="77E7A5A5"/>
    <w:rsid w:val="77FE2F8B"/>
    <w:rsid w:val="7957E391"/>
    <w:rsid w:val="799D1655"/>
    <w:rsid w:val="79DF0B08"/>
    <w:rsid w:val="7A2B6774"/>
    <w:rsid w:val="7AFF54CF"/>
    <w:rsid w:val="7AFFC1A9"/>
    <w:rsid w:val="7B4FF4F6"/>
    <w:rsid w:val="7B8CB501"/>
    <w:rsid w:val="7C5751CD"/>
    <w:rsid w:val="7CFB34DA"/>
    <w:rsid w:val="7D77353D"/>
    <w:rsid w:val="7D7F1180"/>
    <w:rsid w:val="7D9FC1D3"/>
    <w:rsid w:val="7DFC64CA"/>
    <w:rsid w:val="7EA152A5"/>
    <w:rsid w:val="7EEF2021"/>
    <w:rsid w:val="7EFFBADA"/>
    <w:rsid w:val="7F7D2A11"/>
    <w:rsid w:val="7F7D50B4"/>
    <w:rsid w:val="7FAF55F0"/>
    <w:rsid w:val="7FB6A70D"/>
    <w:rsid w:val="7FBBBFAB"/>
    <w:rsid w:val="7FC47E22"/>
    <w:rsid w:val="7FD6EC11"/>
    <w:rsid w:val="7FEB79A5"/>
    <w:rsid w:val="7FF6D0E7"/>
    <w:rsid w:val="7FF7021B"/>
    <w:rsid w:val="7FFD92F0"/>
    <w:rsid w:val="7FFFB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EFBD9C2-57E2-4A16-B476-FA3378B4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B1E5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0B1E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B1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B1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0B1E5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Hyperlink"/>
    <w:basedOn w:val="a0"/>
    <w:uiPriority w:val="99"/>
    <w:unhideWhenUsed/>
    <w:qFormat/>
    <w:rsid w:val="000B1E54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0B1E5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0B1E5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qFormat/>
    <w:rsid w:val="000B1E5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skip">
    <w:name w:val="skip"/>
    <w:basedOn w:val="a0"/>
    <w:qFormat/>
    <w:rsid w:val="000B1E54"/>
  </w:style>
  <w:style w:type="character" w:customStyle="1" w:styleId="apple-converted-space">
    <w:name w:val="apple-converted-space"/>
    <w:basedOn w:val="a0"/>
    <w:qFormat/>
    <w:rsid w:val="000B1E54"/>
  </w:style>
  <w:style w:type="character" w:customStyle="1" w:styleId="tlid-translation">
    <w:name w:val="tlid-translation"/>
    <w:basedOn w:val="a0"/>
    <w:qFormat/>
    <w:rsid w:val="000B1E54"/>
  </w:style>
  <w:style w:type="character" w:customStyle="1" w:styleId="a4">
    <w:name w:val="批注框文本 字符"/>
    <w:basedOn w:val="a0"/>
    <w:link w:val="a3"/>
    <w:uiPriority w:val="99"/>
    <w:semiHidden/>
    <w:qFormat/>
    <w:rsid w:val="000B1E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1783</Words>
  <Characters>10168</Characters>
  <Application>Microsoft Office Word</Application>
  <DocSecurity>0</DocSecurity>
  <Lines>84</Lines>
  <Paragraphs>23</Paragraphs>
  <ScaleCrop>false</ScaleCrop>
  <Company>Microsoft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dingqw</dc:creator>
  <cp:lastModifiedBy>dingqw</cp:lastModifiedBy>
  <cp:revision>7</cp:revision>
  <cp:lastPrinted>2020-02-17T07:23:00Z</cp:lastPrinted>
  <dcterms:created xsi:type="dcterms:W3CDTF">2020-02-17T07:10:00Z</dcterms:created>
  <dcterms:modified xsi:type="dcterms:W3CDTF">2020-02-18T02:54:00Z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