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28" w:h="567" w:hRule="exact" w:hSpace="57" w:wrap="around" w:vAnchor="page" w:hAnchor="page" w:x="1772" w:y="1475" w:anchorLock="1"/>
        <w:spacing w:line="600" w:lineRule="atLeast"/>
        <w:rPr>
          <w:rFonts w:ascii="仿宋_GB2312" w:eastAsia="仿宋_GB2312"/>
          <w:b/>
          <w:color w:val="FFFFFF"/>
          <w:sz w:val="32"/>
        </w:rPr>
      </w:pPr>
      <w:r>
        <w:rPr>
          <w:rFonts w:hint="eastAsia" w:ascii="黑体" w:eastAsia="黑体"/>
          <w:color w:val="FFFFFF"/>
          <w:sz w:val="32"/>
        </w:rPr>
        <w:t>急 件</w:t>
      </w:r>
    </w:p>
    <w:p>
      <w:pPr>
        <w:suppressAutoHyphens/>
        <w:overflowPunct w:val="0"/>
        <w:spacing w:line="56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附件1</w:t>
      </w:r>
    </w:p>
    <w:p>
      <w:pPr>
        <w:suppressAutoHyphens/>
        <w:overflowPunct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uppressAutoHyphens/>
        <w:overflowPunct w:val="0"/>
        <w:spacing w:line="560" w:lineRule="exact"/>
        <w:jc w:val="center"/>
        <w:rPr>
          <w:rFonts w:ascii="宋体" w:hAnsi="宋体" w:eastAsia="方正小标宋简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商旅文体展联合促消费活动项目申报细则</w:t>
      </w:r>
    </w:p>
    <w:p>
      <w:pPr>
        <w:suppressAutoHyphens/>
        <w:overflowPunct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仿宋_GB2312" w:eastAsia="黑体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一、资金支持范围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eastAsia="仿宋_GB2312"/>
          <w:sz w:val="30"/>
          <w:szCs w:val="30"/>
        </w:rPr>
        <w:t>支持商旅文体展活动组织单位、专业服务机构、社交平台等市场主体，在大型主题活动期间联合举办商业营销、餐饮休闲等促消费活动。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二、资金支持标准和方式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1.对现有市场主体开展符合支持条件的活动，活动期间实现商业零售额增长超过20%，实现商业零售额不低于2000万元，活动参加人数不低于1万人次的，予以最高不超过200万元的支持。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2.对当年新设市场主体，在大型主题活动期间联合举办商业营销、餐饮休闲等促消费活动，实现商业零售额不低于2000万元，活动参加人数不低于1万人次的，予以最高不超过200万元的支持。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3.商业零售额统计口径为活动期间的商业营业额/销售额，增长统计口径为活动期间的商业零售额同比上一年度同期的增长。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4.大型主题活动指本市演出、展览、赛事等活动。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三、申报主体与条件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1.在本市区域内依法登记注册，并具有独立法人资格；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2.项目在2024年1月1日至2024年6月30日间实施；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3.存在以下情形之一的项目，不得申报：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（1）获得其他市级财政性资金支持的</w:t>
      </w:r>
      <w:r>
        <w:rPr>
          <w:rFonts w:hint="eastAsia" w:ascii="仿宋_GB2312" w:eastAsia="仿宋_GB2312"/>
          <w:sz w:val="30"/>
          <w:szCs w:val="30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（2）由财政性资金支持开展的活动</w:t>
      </w:r>
      <w:r>
        <w:rPr>
          <w:rFonts w:hint="eastAsia" w:ascii="仿宋_GB2312" w:eastAsia="仿宋_GB2312"/>
          <w:sz w:val="30"/>
          <w:szCs w:val="30"/>
          <w:lang w:eastAsia="zh-CN"/>
        </w:rPr>
        <w:t>，不纳入奖励范围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（3）项目知识产权有争议的；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Calibri" w:hAnsi="Calibri"/>
          <w:szCs w:val="24"/>
        </w:rPr>
      </w:pPr>
      <w:r>
        <w:rPr>
          <w:rFonts w:hint="eastAsia" w:ascii="仿宋_GB2312" w:eastAsia="仿宋_GB2312"/>
          <w:sz w:val="30"/>
          <w:szCs w:val="30"/>
        </w:rPr>
        <w:t>（4）申报单位因重大违法、违规行为被执法部门依法处罚未满3年的。</w:t>
      </w:r>
    </w:p>
    <w:p>
      <w:pPr>
        <w:suppressAutoHyphens/>
        <w:overflowPunct w:val="0"/>
        <w:spacing w:line="560" w:lineRule="exact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四、申报材料要求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1.上海市商旅文体展联动项目（支持商旅文体展联合促消费活动）（第一批次）申报书，需单位法定代表人签字，并加盖单位公章（附件1-1）；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2.项目单位营业执照或法人证书、统一社会信用代码证书复印件，并加盖单位公章；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3.经第三方审计机构出具的项目专项审计报告，包括活动期间商业销售额/营业额及同比增长情况；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活动概述材料，包括活动方案（包括活动时间、地点、内容等）、活动参加人次（需提供证明材料，如经第三方机构出具的手机信令数据、监测数据等）、活动成效情况（包括活动曝光量、媒体报道等）。材料加盖单位公章，编制模版详见附件1-2。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联系人：罗老师 23110672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uppressAutoHyphens/>
        <w:overflowPunct w:val="0"/>
        <w:spacing w:line="560" w:lineRule="exact"/>
        <w:ind w:left="2246" w:leftChars="284" w:hanging="1650" w:hangingChars="5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附件：1-1.上海市商旅文体展联动项目（支持商旅文体展联合促消费活动）（第一批次）申报书</w:t>
      </w:r>
    </w:p>
    <w:p>
      <w:pPr>
        <w:suppressAutoHyphens/>
        <w:overflowPunct w:val="0"/>
        <w:spacing w:line="560" w:lineRule="exact"/>
        <w:ind w:firstLine="1500" w:firstLineChars="5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0"/>
          <w:szCs w:val="30"/>
        </w:rPr>
        <w:t>1-2.商旅文体展联合促消费活动概述材料（通用格式）</w:t>
      </w:r>
    </w:p>
    <w:p>
      <w:pPr>
        <w:suppressAutoHyphens/>
        <w:spacing w:line="44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附件1-1</w:t>
      </w:r>
    </w:p>
    <w:p>
      <w:pPr>
        <w:suppressAutoHyphens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uppressAutoHyphens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商旅文体展联动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</w:t>
      </w:r>
    </w:p>
    <w:p>
      <w:pPr>
        <w:suppressAutoHyphens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（支持商旅文体展联合促消费活动）（第一批次）</w:t>
      </w:r>
    </w:p>
    <w:p>
      <w:pPr>
        <w:suppressAutoHyphens/>
        <w:spacing w:line="440" w:lineRule="exact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申报书</w:t>
      </w:r>
    </w:p>
    <w:p>
      <w:pPr>
        <w:suppressAutoHyphens/>
        <w:spacing w:line="440" w:lineRule="exact"/>
        <w:rPr>
          <w:rFonts w:ascii="宋体" w:hAnsi="Courier New" w:cs="Courier New"/>
          <w:szCs w:val="24"/>
        </w:rPr>
      </w:pPr>
    </w:p>
    <w:p>
      <w:pPr>
        <w:suppressAutoHyphens/>
        <w:spacing w:line="440" w:lineRule="exact"/>
        <w:jc w:val="center"/>
        <w:rPr>
          <w:rFonts w:ascii="宋体" w:hAnsi="宋体"/>
          <w:sz w:val="24"/>
          <w:szCs w:val="24"/>
        </w:rPr>
      </w:pP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0" w:name="iptSubjectName"/>
            <w:bookmarkEnd w:id="0"/>
            <w:bookmarkStart w:id="1" w:name="SubjectName"/>
            <w:bookmarkEnd w:id="1"/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 单 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2" w:name="CompanyName"/>
            <w:bookmarkEnd w:id="2"/>
          </w:p>
        </w:tc>
        <w:tc>
          <w:tcPr>
            <w:tcW w:w="914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3" w:name="iptCompanyAddress"/>
            <w:bookmarkEnd w:id="3"/>
            <w:bookmarkStart w:id="4" w:name="CompanyAddress"/>
            <w:bookmarkEnd w:id="4"/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5" w:name="iptSubjectPrincipal"/>
            <w:bookmarkEnd w:id="5"/>
            <w:bookmarkStart w:id="6" w:name="SubjectPrincipal"/>
            <w:bookmarkEnd w:id="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7" w:name="iptSubjectPrincipalPhone"/>
            <w:bookmarkEnd w:id="7"/>
            <w:bookmarkStart w:id="8" w:name="SubjectPrincipalPhone"/>
            <w:bookmarkEnd w:id="8"/>
            <w:bookmarkStart w:id="9" w:name="principalMobilePhone"/>
            <w:bookmarkEnd w:id="9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10" w:name="sbr"/>
            <w:bookmarkEnd w:id="10"/>
            <w:bookmarkStart w:id="11" w:name="txtSbr"/>
            <w:bookmarkEnd w:id="11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12" w:name="iptSubjectLinkManPhone"/>
            <w:bookmarkEnd w:id="12"/>
            <w:bookmarkStart w:id="13" w:name="SubjectLinkManPhone"/>
            <w:bookmarkEnd w:id="13"/>
            <w:bookmarkStart w:id="14" w:name="lxdh"/>
            <w:bookmarkEnd w:id="14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 子 邮 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15" w:name="Email"/>
            <w:bookmarkEnd w:id="15"/>
            <w:bookmarkStart w:id="16" w:name="iptEmail"/>
            <w:bookmarkEnd w:id="1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17" w:name="iptFax"/>
            <w:bookmarkEnd w:id="17"/>
            <w:bookmarkStart w:id="18" w:name="Fax"/>
            <w:bookmarkEnd w:id="18"/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 位 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19" w:name="iptWebSite"/>
            <w:bookmarkEnd w:id="19"/>
            <w:bookmarkStart w:id="20" w:name="WebSite"/>
            <w:bookmarkEnd w:id="20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jc w:val="righ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  <w:bookmarkStart w:id="21" w:name="sbsj"/>
            <w:bookmarkEnd w:id="21"/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spacing w:line="440" w:lineRule="exact"/>
              <w:ind w:firstLine="240" w:firstLineChars="100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>
      <w:pPr>
        <w:suppressAutoHyphens/>
        <w:spacing w:line="440" w:lineRule="exact"/>
        <w:rPr>
          <w:rFonts w:ascii="黑体" w:hAnsi="宋体" w:eastAsia="黑体"/>
          <w:b/>
          <w:szCs w:val="24"/>
        </w:rPr>
      </w:pPr>
    </w:p>
    <w:p>
      <w:pPr>
        <w:suppressAutoHyphens/>
        <w:spacing w:line="440" w:lineRule="exact"/>
        <w:jc w:val="center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spacing w:line="440" w:lineRule="exact"/>
        <w:ind w:firstLine="482" w:firstLineChars="200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spacing w:line="440" w:lineRule="exact"/>
        <w:ind w:firstLine="482" w:firstLineChars="200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spacing w:line="440" w:lineRule="exact"/>
        <w:rPr>
          <w:rFonts w:ascii="黑体" w:hAnsi="宋体" w:eastAsia="黑体"/>
          <w:b/>
          <w:sz w:val="24"/>
          <w:szCs w:val="24"/>
        </w:rPr>
      </w:pPr>
    </w:p>
    <w:p>
      <w:pPr>
        <w:suppressAutoHyphens/>
        <w:spacing w:line="440" w:lineRule="exact"/>
        <w:jc w:val="center"/>
        <w:rPr>
          <w:rFonts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>
      <w:pPr>
        <w:suppressAutoHyphens/>
        <w:overflowPunct w:val="0"/>
        <w:spacing w:line="440" w:lineRule="exact"/>
        <w:jc w:val="center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二○二四年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24"/>
        </w:rPr>
        <w:t>月</w:t>
      </w:r>
    </w:p>
    <w:p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申请承诺书</w:t>
      </w:r>
    </w:p>
    <w:p>
      <w:pPr>
        <w:suppressAutoHyphens/>
        <w:spacing w:line="2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widowControl/>
        <w:suppressAutoHyphens/>
        <w:spacing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一、本单位（人）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且在惩戒期内；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</w:rPr>
        <w:t>拖欠应缴还的财政性资金；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</w:rPr>
        <w:t>（五）其他申报细则中提到的情形。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四、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八、本项目材料仅为申请本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项目</w:t>
      </w:r>
      <w:r>
        <w:rPr>
          <w:rFonts w:hint="eastAsia" w:ascii="仿宋_GB2312" w:hAnsi="宋体" w:eastAsia="仿宋_GB2312"/>
          <w:kern w:val="0"/>
          <w:sz w:val="24"/>
          <w:szCs w:val="24"/>
        </w:rPr>
        <w:t>制作并已自行备份，不再要求上海市商务委员会予以退还。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widowControl/>
        <w:suppressAutoHyphens/>
        <w:spacing w:line="320" w:lineRule="exact"/>
        <w:ind w:firstLine="480" w:firstLineChars="200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上述承诺，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如有虚假，本单位（人）依法依规承担相应的法律责任。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签字日期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uppressAutoHyphens/>
        <w:overflowPunct w:val="0"/>
        <w:spacing w:line="320" w:lineRule="exact"/>
        <w:rPr>
          <w:rFonts w:hint="eastAsia" w:ascii="仿宋_GB2312" w:hAnsi="宋体" w:eastAsia="仿宋_GB2312"/>
          <w:kern w:val="0"/>
          <w:sz w:val="24"/>
          <w:szCs w:val="24"/>
        </w:rPr>
      </w:pPr>
    </w:p>
    <w:p>
      <w:pPr>
        <w:suppressAutoHyphens/>
        <w:overflowPunct w:val="0"/>
        <w:spacing w:line="320" w:lineRule="exact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(单位需加盖公章；授权代表签字的还需提交法定代表人授权委托书，附承诺书后面)</w:t>
      </w:r>
    </w:p>
    <w:p>
      <w:pPr>
        <w:suppressAutoHyphens/>
        <w:spacing w:line="400" w:lineRule="exact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</w:t>
      </w:r>
      <w:r>
        <w:rPr>
          <w:rFonts w:hint="eastAsia" w:ascii="黑体" w:hAnsi="宋体" w:eastAsia="黑体"/>
          <w:sz w:val="24"/>
          <w:szCs w:val="24"/>
        </w:rPr>
        <w:t>单位基本情况</w:t>
      </w:r>
    </w:p>
    <w:tbl>
      <w:tblPr>
        <w:tblStyle w:val="10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  <w:bookmarkStart w:id="22" w:name="departmentName"/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  <w:bookmarkStart w:id="23" w:name="departmentAddress"/>
            <w:bookmarkEnd w:id="23"/>
            <w:r>
              <w:rPr>
                <w:rFonts w:hint="eastAsia" w:ascii="宋体" w:hAnsi="宋体"/>
                <w:szCs w:val="24"/>
              </w:rPr>
              <w:t>行政区+详细地址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国民经济行业分类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spacing w:line="40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napToGrid w:val="0"/>
              <w:spacing w:line="40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  <w:bookmarkStart w:id="24" w:name="scopeOfBusiness"/>
            <w:bookmarkEnd w:id="24"/>
          </w:p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  <w:bookmarkStart w:id="25" w:name="Mainprodourt"/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  <w:bookmarkStart w:id="26" w:name="ProQualifications"/>
            <w:bookmarkEnd w:id="26"/>
          </w:p>
          <w:p>
            <w:pPr>
              <w:suppressAutoHyphens/>
              <w:spacing w:line="400" w:lineRule="exact"/>
              <w:rPr>
                <w:rFonts w:ascii="宋体" w:hAnsi="宋体"/>
                <w:bCs/>
                <w:iCs/>
                <w:szCs w:val="24"/>
              </w:rPr>
            </w:pPr>
          </w:p>
        </w:tc>
      </w:tr>
    </w:tbl>
    <w:p>
      <w:pPr>
        <w:spacing w:line="480" w:lineRule="auto"/>
        <w:jc w:val="left"/>
        <w:rPr>
          <w:rFonts w:ascii="黑体" w:eastAsia="黑体"/>
          <w:sz w:val="24"/>
          <w:szCs w:val="24"/>
        </w:rPr>
      </w:pPr>
      <w:bookmarkStart w:id="27" w:name="helpItem"/>
      <w:bookmarkEnd w:id="27"/>
      <w:r>
        <w:rPr>
          <w:b/>
          <w:sz w:val="24"/>
          <w:szCs w:val="24"/>
        </w:rPr>
        <w:br w:type="page"/>
      </w:r>
      <w:r>
        <w:rPr>
          <w:rFonts w:hint="eastAsia" w:ascii="黑体" w:eastAsia="黑体"/>
          <w:sz w:val="24"/>
          <w:szCs w:val="24"/>
        </w:rPr>
        <w:t>二、项目基本情况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1178"/>
        <w:gridCol w:w="379"/>
        <w:gridCol w:w="850"/>
        <w:gridCol w:w="1843"/>
        <w:gridCol w:w="708"/>
        <w:gridCol w:w="141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859" w:type="pct"/>
            <w:gridSpan w:val="2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69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017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69" w:type="pct"/>
            <w:gridSpan w:val="2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suppressAutoHyphens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560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项目实施地点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项目实施周期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起止时间：    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本项目同期的大型主题活动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活动期间商业销售额/营业额</w:t>
            </w:r>
          </w:p>
        </w:tc>
        <w:tc>
          <w:tcPr>
            <w:tcW w:w="650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ind w:firstLine="525" w:firstLineChars="2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（金额）</w:t>
            </w:r>
          </w:p>
        </w:tc>
        <w:tc>
          <w:tcPr>
            <w:tcW w:w="2086" w:type="pct"/>
            <w:gridSpan w:val="4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上一年度同一时期商业销售额/营业额</w:t>
            </w: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万元</w:t>
            </w:r>
          </w:p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（金额）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商业零售额同比增长情况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ind w:firstLine="1050" w:firstLineChars="5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%</w:t>
            </w:r>
          </w:p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26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活动参加人数</w:t>
            </w:r>
          </w:p>
        </w:tc>
        <w:tc>
          <w:tcPr>
            <w:tcW w:w="3374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rFonts w:ascii="宋体" w:hAnsi="宋体" w:cs="宋体"/>
              </w:rPr>
            </w:pPr>
          </w:p>
        </w:tc>
      </w:tr>
    </w:tbl>
    <w:p>
      <w:pPr>
        <w:spacing w:line="480" w:lineRule="auto"/>
        <w:jc w:val="left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spacing w:line="480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</w:t>
      </w:r>
      <w:r>
        <w:rPr>
          <w:rFonts w:hint="eastAsia" w:ascii="黑体" w:hAnsi="宋体" w:eastAsia="黑体"/>
          <w:sz w:val="24"/>
          <w:szCs w:val="24"/>
        </w:rPr>
        <w:t>单位账户信息</w:t>
      </w:r>
    </w:p>
    <w:tbl>
      <w:tblPr>
        <w:tblStyle w:val="10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522"/>
        <w:gridCol w:w="896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8" w:name="Company_Name"/>
            <w:bookmarkEnd w:id="28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8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银行名称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9" w:name="departmentBankName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(请规范填写,如“××银行上海××支行（或营业部）”）</w:t>
            </w:r>
            <w:bookmarkEnd w:id="29"/>
          </w:p>
        </w:tc>
        <w:tc>
          <w:tcPr>
            <w:tcW w:w="9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0" w:name="departmentBnakAccount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(请填写人民币账户)</w:t>
            </w:r>
            <w:bookmarkEnd w:id="3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uppressAutoHyphens/>
        <w:spacing w:line="480" w:lineRule="auto"/>
        <w:jc w:val="left"/>
        <w:rPr>
          <w:rFonts w:ascii="黑体" w:hAnsi="宋体" w:eastAsia="黑体" w:cs="宋体"/>
          <w:bCs/>
          <w:sz w:val="24"/>
          <w:szCs w:val="24"/>
        </w:rPr>
      </w:pPr>
      <w:bookmarkStart w:id="31" w:name="SBTS1"/>
      <w:bookmarkEnd w:id="31"/>
    </w:p>
    <w:p>
      <w:pPr>
        <w:suppressAutoHyphens/>
        <w:spacing w:line="480" w:lineRule="auto"/>
        <w:jc w:val="left"/>
        <w:rPr>
          <w:rFonts w:ascii="黑体" w:hAnsi="宋体" w:eastAsia="黑体" w:cs="宋体"/>
          <w:bCs/>
          <w:sz w:val="24"/>
          <w:szCs w:val="24"/>
        </w:rPr>
      </w:pPr>
      <w:r>
        <w:rPr>
          <w:rFonts w:hint="eastAsia" w:ascii="黑体" w:hAnsi="宋体" w:eastAsia="黑体" w:cs="宋体"/>
          <w:bCs/>
          <w:sz w:val="24"/>
          <w:szCs w:val="24"/>
        </w:rPr>
        <w:t>四、材料清单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上海市商旅文体展联动项目（支持商旅文体展联合促消费活动）（第一批次）申报书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项目单位营业执照或法人证书、统一社会信用代码证书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经第三方审计机构出具的项目专项审计报告，包括活动期间商业销售额/营业额及同比增长情况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活动概述材料，包括活动方案（包括活动时间、地点、内容等）、活动参加人次（需提供证明材料，如经第三方机构出具的手机信令数据、监测数据等）、活动成效情况（包括活动曝光量、媒体报道等）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其他材料（如有）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000" w:type="pct"/>
            <w:gridSpan w:val="2"/>
            <w:noWrap/>
            <w:vAlign w:val="top"/>
          </w:tcPr>
          <w:p>
            <w:pPr>
              <w:suppressAutoHyphens/>
              <w:snapToGri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其他说明：</w:t>
            </w:r>
            <w:bookmarkStart w:id="32" w:name="remark"/>
            <w:bookmarkEnd w:id="32"/>
          </w:p>
          <w:p>
            <w:pPr>
              <w:suppressAutoHyphens/>
              <w:snapToGrid w:val="0"/>
              <w:spacing w:line="360" w:lineRule="auto"/>
              <w:ind w:firstLine="420" w:firstLineChars="200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填写项目名称时请按：公司名称+申报项目，如“XX公司XX商旅文体展联动项目——支持商旅文体展联合促消费活动（第一批次）”。</w:t>
            </w:r>
          </w:p>
        </w:tc>
      </w:tr>
    </w:tbl>
    <w:p>
      <w:pPr>
        <w:suppressAutoHyphens/>
        <w:spacing w:line="240" w:lineRule="exact"/>
        <w:rPr>
          <w:rFonts w:ascii="Calibri" w:hAnsi="Calibri"/>
          <w:szCs w:val="24"/>
        </w:rPr>
      </w:pPr>
    </w:p>
    <w:p>
      <w:pPr>
        <w:suppressAutoHyphens/>
        <w:spacing w:line="440" w:lineRule="exact"/>
        <w:rPr>
          <w:rFonts w:ascii="Calibri" w:hAnsi="Calibri"/>
          <w:szCs w:val="24"/>
        </w:rPr>
      </w:pPr>
      <w:r>
        <w:rPr>
          <w:rFonts w:hint="eastAsia" w:ascii="黑体" w:hAnsi="宋体" w:eastAsia="黑体" w:cs="宋体"/>
          <w:bCs/>
          <w:sz w:val="24"/>
        </w:rPr>
        <w:t>五、区受理部门审核意见</w:t>
      </w:r>
    </w:p>
    <w:tbl>
      <w:tblPr>
        <w:tblStyle w:val="1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8" w:hRule="atLeast"/>
        </w:trPr>
        <w:tc>
          <w:tcPr>
            <w:tcW w:w="8500" w:type="dxa"/>
            <w:noWrap/>
            <w:vAlign w:val="top"/>
          </w:tcPr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uppressAutoHyphens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单位公章：</w:t>
            </w:r>
          </w:p>
          <w:p>
            <w:pPr>
              <w:suppressAutoHyphens/>
              <w:ind w:firstLine="420" w:firstLineChars="200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年  月  日</w:t>
            </w:r>
          </w:p>
        </w:tc>
      </w:tr>
    </w:tbl>
    <w:p>
      <w:pPr>
        <w:overflowPunct w:val="0"/>
        <w:spacing w:line="560" w:lineRule="exact"/>
        <w:outlineLvl w:val="0"/>
        <w:rPr>
          <w:rFonts w:ascii="黑体" w:hAnsi="方正小标宋简体" w:eastAsia="黑体" w:cs="方正小标宋简体"/>
          <w:bCs/>
          <w:sz w:val="32"/>
          <w:szCs w:val="32"/>
        </w:rPr>
      </w:pPr>
      <w:r>
        <w:rPr>
          <w:rFonts w:hint="eastAsia" w:ascii="Calibri" w:hAnsi="Calibri"/>
          <w:szCs w:val="24"/>
        </w:rPr>
        <w:br w:type="page"/>
      </w:r>
      <w:r>
        <w:rPr>
          <w:rFonts w:hint="eastAsia" w:ascii="黑体" w:hAnsi="方正小标宋简体" w:eastAsia="黑体" w:cs="方正小标宋简体"/>
          <w:bCs/>
          <w:sz w:val="32"/>
          <w:szCs w:val="32"/>
        </w:rPr>
        <w:t>附件1-2</w:t>
      </w:r>
    </w:p>
    <w:p>
      <w:pPr>
        <w:suppressAutoHyphens/>
        <w:overflowPunct w:val="0"/>
        <w:spacing w:line="560" w:lineRule="exact"/>
        <w:rPr>
          <w:rFonts w:ascii="楷体_GB2312" w:hAnsi="华文中宋" w:eastAsia="楷体_GB2312"/>
          <w:sz w:val="36"/>
          <w:szCs w:val="36"/>
        </w:rPr>
      </w:pPr>
    </w:p>
    <w:p>
      <w:pPr>
        <w:suppressAutoHyphens/>
        <w:overflowPunct w:val="0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商旅文体展联合促消费活动概述材料</w:t>
      </w:r>
    </w:p>
    <w:p>
      <w:pPr>
        <w:suppressAutoHyphens/>
        <w:overflowPunct w:val="0"/>
        <w:spacing w:line="560" w:lineRule="exact"/>
        <w:jc w:val="center"/>
        <w:rPr>
          <w:rFonts w:hint="eastAsia" w:ascii="楷体_GB2312" w:hAnsi="华文中宋" w:eastAsia="楷体_GB2312"/>
          <w:sz w:val="30"/>
          <w:szCs w:val="30"/>
        </w:rPr>
      </w:pPr>
      <w:r>
        <w:rPr>
          <w:rFonts w:hint="eastAsia" w:ascii="楷体_GB2312" w:hAnsi="华文中宋" w:eastAsia="楷体_GB2312"/>
          <w:sz w:val="30"/>
          <w:szCs w:val="30"/>
        </w:rPr>
        <w:t>（通用格式）</w:t>
      </w:r>
    </w:p>
    <w:p>
      <w:pPr>
        <w:suppressAutoHyphens/>
        <w:overflowPunct w:val="0"/>
        <w:spacing w:line="560" w:lineRule="exact"/>
        <w:rPr>
          <w:rFonts w:hint="eastAsia" w:ascii="楷体_GB2312" w:hAnsi="华文中宋" w:eastAsia="楷体_GB2312"/>
          <w:sz w:val="36"/>
          <w:szCs w:val="36"/>
        </w:rPr>
      </w:pP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</w:rPr>
        <w:t>报告应围绕项目对商旅文体展联合促消费活动实施情况开展论述，篇幅控制在2000—4000字，一般包括以下内容：</w:t>
      </w:r>
      <w:bookmarkStart w:id="33" w:name="_Toc256425693"/>
    </w:p>
    <w:p>
      <w:pPr>
        <w:suppressAutoHyphens/>
        <w:overflowPunct w:val="0"/>
        <w:spacing w:line="560" w:lineRule="exact"/>
        <w:ind w:firstLine="600" w:firstLineChars="200"/>
        <w:rPr>
          <w:rFonts w:ascii="黑体" w:hAnsi="Calibri" w:eastAsia="黑体"/>
          <w:sz w:val="30"/>
          <w:szCs w:val="30"/>
        </w:rPr>
      </w:pPr>
      <w:r>
        <w:rPr>
          <w:rFonts w:hint="eastAsia" w:ascii="黑体" w:hAnsi="Calibri" w:eastAsia="黑体"/>
          <w:sz w:val="30"/>
          <w:szCs w:val="30"/>
        </w:rPr>
        <w:t>一、</w:t>
      </w:r>
      <w:bookmarkEnd w:id="33"/>
      <w:r>
        <w:rPr>
          <w:rFonts w:hint="eastAsia" w:ascii="黑体" w:hAnsi="Calibri" w:eastAsia="黑体"/>
          <w:sz w:val="30"/>
          <w:szCs w:val="30"/>
        </w:rPr>
        <w:t>活动方案基本情况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</w:rPr>
        <w:t>包括活动实施地点、时间、内容、规模等情况。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黑体" w:hAnsi="Calibri" w:eastAsia="黑体"/>
          <w:sz w:val="30"/>
          <w:szCs w:val="30"/>
        </w:rPr>
      </w:pPr>
      <w:r>
        <w:rPr>
          <w:rFonts w:hint="eastAsia" w:ascii="黑体" w:hAnsi="Calibri" w:eastAsia="黑体"/>
          <w:sz w:val="30"/>
          <w:szCs w:val="30"/>
        </w:rPr>
        <w:t>二、商旅文体展联合情况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</w:rPr>
        <w:t>包括活动期间的大型主题活动举办情况，本活动与大型主题活动的联合促消费实施情况。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黑体" w:hAnsi="Calibri" w:eastAsia="黑体"/>
          <w:sz w:val="30"/>
          <w:szCs w:val="30"/>
        </w:rPr>
      </w:pPr>
      <w:r>
        <w:rPr>
          <w:rFonts w:hint="eastAsia" w:ascii="黑体" w:hAnsi="Calibri" w:eastAsia="黑体"/>
          <w:sz w:val="30"/>
          <w:szCs w:val="30"/>
        </w:rPr>
        <w:t>三、活动实施成效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sz w:val="30"/>
          <w:szCs w:val="30"/>
        </w:rPr>
        <w:t>包括活动参与人次情况，活动消费促进情况等。可提供活动曝光量、媒体报道情况，随附可体现活动成效的影像照片资料等。</w:t>
      </w:r>
    </w:p>
    <w:p>
      <w:pPr>
        <w:suppressAutoHyphens/>
        <w:overflowPunct w:val="0"/>
        <w:spacing w:line="560" w:lineRule="exact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uppressAutoHyphens/>
        <w:overflowPunct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  <w:bookmarkStart w:id="34" w:name="_GoBack"/>
      <w:bookmarkEnd w:id="34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066E396A"/>
    <w:rsid w:val="3C35EEC4"/>
    <w:rsid w:val="45025860"/>
    <w:rsid w:val="4EA87F09"/>
    <w:rsid w:val="55DBA243"/>
    <w:rsid w:val="6EFF8D1F"/>
    <w:rsid w:val="7BBB39B7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qFormat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qFormat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8</Pages>
  <Words>10831</Words>
  <Characters>11105</Characters>
  <Lines>221</Lines>
  <Paragraphs>62</Paragraphs>
  <TotalTime>124</TotalTime>
  <ScaleCrop>false</ScaleCrop>
  <LinksUpToDate>false</LinksUpToDate>
  <CharactersWithSpaces>11314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2024-08-16T08:50:07Z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C144C8434AC547FEAEC210D13B84EC5D_13</vt:lpwstr>
  </property>
</Properties>
</file>