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保障性租赁住房项目租赁情况检查记录表（样表）</w:t>
      </w:r>
    </w:p>
    <w:p>
      <w:pPr>
        <w:jc w:val="center"/>
        <w:rPr>
          <w:rFonts w:eastAsia="仿宋_GB2312"/>
          <w:sz w:val="24"/>
          <w:szCs w:val="24"/>
        </w:rPr>
      </w:pP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检查项目名称：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检查日期：</w:t>
      </w:r>
    </w:p>
    <w:tbl>
      <w:tblPr>
        <w:tblStyle w:val="2"/>
        <w:tblW w:w="90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11"/>
        <w:gridCol w:w="2971"/>
        <w:gridCol w:w="56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338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巡查事项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30"/>
                <w:szCs w:val="30"/>
              </w:rPr>
              <w:t>巡查情况记录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出租单位按照备案的项目准入条件、配租规则，公平规范开展供应，准确做好初次申请对象审核和合同期满对象复审工作，落实无房对象优先配租。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出租单位规范签订租赁合同并全部在规定信息系统中网签，租赁合同期限符合政策规定。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出租单位按照备案的项目租赁价格计收租金，租金和押金的收取方式符合政策规定。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项目的居住人数和人均住房面积符合政策规定，对同住人员有登记和管理措施，对转租转借、擅自增加同住人和拒不腾退等违规行为能够有效管控。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97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政府支持政策落实情况，以及出租单位的其他情况反映和意见建议。</w:t>
            </w:r>
          </w:p>
        </w:tc>
        <w:tc>
          <w:tcPr>
            <w:tcW w:w="5667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检查人员签名：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2022-01-17T12:17:31Z</dcterms:created>
  <dc:creator>Administrator</dc:creator>
  <cp:lastModifiedBy>哈可</cp:lastModifiedBy>
  <dcterms:modified xsi:type="dcterms:W3CDTF">2022-01-17T12:17:41Z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