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AE2" w:rsidRPr="00E26F4F" w:rsidRDefault="00A35AE2" w:rsidP="00A35AE2">
      <w:pPr>
        <w:pStyle w:val="a4"/>
        <w:keepNext/>
        <w:spacing w:line="360" w:lineRule="auto"/>
        <w:jc w:val="center"/>
        <w:rPr>
          <w:rFonts w:ascii="华文细黑" w:eastAsia="华文细黑" w:hAnsi="华文细黑"/>
          <w:sz w:val="24"/>
          <w:szCs w:val="24"/>
        </w:rPr>
      </w:pPr>
      <w:r w:rsidRPr="00E26F4F">
        <w:rPr>
          <w:rFonts w:ascii="华文细黑" w:eastAsia="华文细黑" w:hAnsi="华文细黑" w:hint="eastAsia"/>
          <w:sz w:val="24"/>
          <w:szCs w:val="24"/>
        </w:rPr>
        <w:t>附图  地下空间功能规划管控分区</w:t>
      </w:r>
    </w:p>
    <w:p w:rsidR="00E26F4F" w:rsidRPr="00E26F4F" w:rsidRDefault="00E26F4F" w:rsidP="00E26F4F">
      <w:r w:rsidRPr="00A35AE2">
        <w:rPr>
          <w:rFonts w:ascii="华文细黑" w:eastAsia="华文细黑" w:hAnsi="华文细黑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373380</wp:posOffset>
            </wp:positionH>
            <wp:positionV relativeFrom="margin">
              <wp:posOffset>476589</wp:posOffset>
            </wp:positionV>
            <wp:extent cx="13251815" cy="8955405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815" cy="895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26F4F" w:rsidRDefault="00E26F4F">
      <w:pPr>
        <w:widowControl/>
        <w:jc w:val="left"/>
        <w:rPr>
          <w:rFonts w:ascii="华文细黑" w:eastAsia="华文细黑" w:hAnsi="华文细黑" w:cstheme="majorBidi"/>
          <w:szCs w:val="21"/>
        </w:rPr>
      </w:pPr>
      <w:r>
        <w:rPr>
          <w:rFonts w:ascii="华文细黑" w:eastAsia="华文细黑" w:hAnsi="华文细黑"/>
          <w:szCs w:val="21"/>
        </w:rPr>
        <w:br w:type="page"/>
      </w:r>
    </w:p>
    <w:p w:rsidR="00565D67" w:rsidRDefault="00565D67" w:rsidP="00565D67">
      <w:pPr>
        <w:pStyle w:val="a4"/>
        <w:keepNext/>
        <w:spacing w:line="360" w:lineRule="auto"/>
        <w:jc w:val="center"/>
        <w:rPr>
          <w:rFonts w:ascii="华文细黑" w:eastAsia="华文细黑" w:hAnsi="华文细黑"/>
          <w:sz w:val="24"/>
          <w:szCs w:val="24"/>
        </w:rPr>
      </w:pPr>
      <w:r w:rsidRPr="00565D67">
        <w:rPr>
          <w:rFonts w:ascii="华文细黑" w:eastAsia="华文细黑" w:hAnsi="华文细黑" w:hint="eastAsia"/>
          <w:sz w:val="24"/>
          <w:szCs w:val="24"/>
        </w:rPr>
        <w:t>附</w:t>
      </w:r>
      <w:r w:rsidRPr="00565D67">
        <w:rPr>
          <w:rFonts w:ascii="华文细黑" w:eastAsia="华文细黑" w:hAnsi="华文细黑"/>
          <w:sz w:val="24"/>
          <w:szCs w:val="24"/>
        </w:rPr>
        <w:t xml:space="preserve">表  </w:t>
      </w:r>
      <w:r w:rsidRPr="00565D67">
        <w:rPr>
          <w:rFonts w:ascii="华文细黑" w:eastAsia="华文细黑" w:hAnsi="华文细黑" w:hint="eastAsia"/>
          <w:sz w:val="24"/>
          <w:szCs w:val="24"/>
        </w:rPr>
        <w:t>地下空间规划管控内容详细指引表</w:t>
      </w:r>
    </w:p>
    <w:tbl>
      <w:tblPr>
        <w:tblStyle w:val="a3"/>
        <w:tblW w:w="21800" w:type="dxa"/>
        <w:tblLook w:val="04A0"/>
      </w:tblPr>
      <w:tblGrid>
        <w:gridCol w:w="568"/>
        <w:gridCol w:w="1559"/>
        <w:gridCol w:w="2666"/>
        <w:gridCol w:w="1521"/>
        <w:gridCol w:w="1769"/>
        <w:gridCol w:w="2158"/>
        <w:gridCol w:w="1804"/>
        <w:gridCol w:w="1698"/>
        <w:gridCol w:w="1769"/>
        <w:gridCol w:w="2283"/>
        <w:gridCol w:w="2077"/>
        <w:gridCol w:w="1928"/>
      </w:tblGrid>
      <w:tr w:rsidR="006F0279" w:rsidRPr="00491253" w:rsidTr="0036444F">
        <w:trPr>
          <w:trHeight w:val="919"/>
        </w:trPr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管控内容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主要指标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轨道交通系统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地下人行系统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地下停车系统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地下公共空间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综合管廊系统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人防工程系统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地下</w:t>
            </w:r>
            <w:r>
              <w:rPr>
                <w:rFonts w:asciiTheme="minorEastAsia" w:hAnsiTheme="minorEastAsia" w:hint="eastAsia"/>
                <w:szCs w:val="21"/>
              </w:rPr>
              <w:t>能源</w:t>
            </w:r>
            <w:r w:rsidRPr="00491253">
              <w:rPr>
                <w:rFonts w:asciiTheme="minorEastAsia" w:hAnsiTheme="minorEastAsia" w:hint="eastAsia"/>
                <w:szCs w:val="21"/>
              </w:rPr>
              <w:t>系统</w:t>
            </w:r>
          </w:p>
        </w:tc>
        <w:tc>
          <w:tcPr>
            <w:tcW w:w="2283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海绵城市系统</w:t>
            </w:r>
          </w:p>
        </w:tc>
        <w:tc>
          <w:tcPr>
            <w:tcW w:w="2077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地下物流系统</w:t>
            </w:r>
          </w:p>
        </w:tc>
        <w:tc>
          <w:tcPr>
            <w:tcW w:w="1928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地下垃圾系统</w:t>
            </w:r>
          </w:p>
        </w:tc>
      </w:tr>
      <w:tr w:rsidR="006F0279" w:rsidRPr="00491253" w:rsidTr="0036444F">
        <w:trPr>
          <w:trHeight w:val="552"/>
        </w:trPr>
        <w:tc>
          <w:tcPr>
            <w:tcW w:w="0" w:type="auto"/>
            <w:vMerge w:val="restart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核心功能区</w:t>
            </w:r>
          </w:p>
        </w:tc>
        <w:tc>
          <w:tcPr>
            <w:tcW w:w="0" w:type="auto"/>
            <w:vMerge w:val="restart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kern w:val="0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区域地下与地上比例不低于0.5；</w:t>
            </w:r>
          </w:p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kern w:val="0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地下开发2-3层；</w:t>
            </w:r>
          </w:p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kern w:val="0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地下公共</w:t>
            </w:r>
            <w:r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空间</w:t>
            </w: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比例10~20%；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配建停车地下化率100%。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2283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2077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o</w:t>
            </w:r>
          </w:p>
        </w:tc>
        <w:tc>
          <w:tcPr>
            <w:tcW w:w="1928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o</w:t>
            </w:r>
          </w:p>
        </w:tc>
      </w:tr>
      <w:tr w:rsidR="006F0279" w:rsidRPr="00491253" w:rsidTr="0036444F">
        <w:trPr>
          <w:trHeight w:val="4602"/>
        </w:trPr>
        <w:tc>
          <w:tcPr>
            <w:tcW w:w="0" w:type="auto"/>
            <w:vMerge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0" w:type="auto"/>
            <w:vMerge/>
            <w:vAlign w:val="center"/>
          </w:tcPr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划定轨道交通安全保护区控制线；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站点枢纽地区统一规划、充分开发、同步建设，做好轨道交通预留和连通条件；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轨道交通区间隧道适宜布置在中层地下空间（-15~-30米），站厅适宜布置在次浅层地下空间（-5~-15米）。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重点在枢纽站点地区构建地下步行系统；</w:t>
            </w:r>
          </w:p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鼓励结合片区整体开发构建地下步行系统；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明确连通接口位置、标高、尺寸、垂直交通位置和实施要求。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结合枢纽设置P+R换乘设施，鼓励地下停车资源共享；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明确项目地下停车位规模，地下车行连通接口位置、标高、尺寸和实施要求。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综合运用下沉广场、中庭等形式加强地下空间开放性和公共性，倡导引入自然通风、采光和景观元素；</w:t>
            </w:r>
          </w:p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地面附属设施加强与街区环境的协调融合；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明确地下公共空间位置、面积、功能类型。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kern w:val="0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新建道路市政管线100%地下化，优先布置综合管廊，以支线和缆线形式为主。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地下综合管廊的规划建设宜与地块开发相结合，并不得影响地下空间相互连通。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kern w:val="0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以需求为导向，合理布局人员掩蔽工程；</w:t>
            </w:r>
          </w:p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kern w:val="0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鼓励人防设施与邻近地铁站点、下沉广场、城市应急避难场所直接连通；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鼓励条件适合区域的结建人防工程集约化建设。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结合商业、办公、产业集中分布的重点片区，积极推广应用分布式供能系统。</w:t>
            </w:r>
          </w:p>
        </w:tc>
        <w:tc>
          <w:tcPr>
            <w:tcW w:w="2283" w:type="dxa"/>
            <w:vAlign w:val="center"/>
          </w:tcPr>
          <w:p w:rsidR="006F0279" w:rsidRPr="00491253" w:rsidRDefault="0036444F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36444F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地下空间的开发建设</w:t>
            </w:r>
            <w:r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应</w:t>
            </w:r>
            <w:r w:rsidRPr="0036444F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符合《海绵城市建设评价标准》（GB/T 51345-2018）、《海绵城市建设技术标准》（DG/TJ 08-2298-2019）、《上海市海绵城市建设技术导则》和《上海临港地区海绵城市专项规划》等标准和规划的要求</w:t>
            </w:r>
            <w:r w:rsidR="006F0279" w:rsidRPr="0049125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。</w:t>
            </w:r>
          </w:p>
        </w:tc>
        <w:tc>
          <w:tcPr>
            <w:tcW w:w="2077" w:type="dxa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kern w:val="0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适用于开发强度高、环境品质要求高的商务办公区、生活居住区，以及医院、展览中心等公共建筑；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系统可独立建设，也可与管廊、地下道路、地下空间结合建设。</w:t>
            </w:r>
          </w:p>
        </w:tc>
        <w:tc>
          <w:tcPr>
            <w:tcW w:w="1928" w:type="dxa"/>
            <w:vAlign w:val="center"/>
          </w:tcPr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适用于新建办公集中区、部分生活社区和医院建筑。</w:t>
            </w:r>
          </w:p>
        </w:tc>
      </w:tr>
      <w:tr w:rsidR="006F0279" w:rsidRPr="00491253" w:rsidTr="0036444F">
        <w:trPr>
          <w:trHeight w:val="677"/>
        </w:trPr>
        <w:tc>
          <w:tcPr>
            <w:tcW w:w="0" w:type="auto"/>
            <w:vMerge w:val="restart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重</w:t>
            </w:r>
            <w:r w:rsidR="00D35782">
              <w:rPr>
                <w:rFonts w:asciiTheme="minorEastAsia" w:hAnsiTheme="minorEastAsia" w:hint="eastAsia"/>
                <w:szCs w:val="21"/>
              </w:rPr>
              <w:t>要</w:t>
            </w:r>
            <w:r w:rsidRPr="00491253">
              <w:rPr>
                <w:rFonts w:asciiTheme="minorEastAsia" w:hAnsiTheme="minorEastAsia" w:hint="eastAsia"/>
                <w:szCs w:val="21"/>
              </w:rPr>
              <w:t>功能区</w:t>
            </w:r>
          </w:p>
        </w:tc>
        <w:tc>
          <w:tcPr>
            <w:tcW w:w="0" w:type="auto"/>
            <w:vMerge w:val="restart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kern w:val="0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区域地下与地上比例宜为0.3~0.5；</w:t>
            </w:r>
          </w:p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地下开发1-2层；</w:t>
            </w:r>
          </w:p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kern w:val="0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kern w:val="0"/>
                <w:szCs w:val="21"/>
              </w:rPr>
              <w:t>鼓励适当设置地下公共设施；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配建停车地下化率100%。</w:t>
            </w:r>
          </w:p>
        </w:tc>
        <w:tc>
          <w:tcPr>
            <w:tcW w:w="0" w:type="auto"/>
            <w:vAlign w:val="center"/>
          </w:tcPr>
          <w:p w:rsidR="006F0279" w:rsidRPr="00491253" w:rsidRDefault="00653818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○</w:t>
            </w:r>
          </w:p>
        </w:tc>
        <w:tc>
          <w:tcPr>
            <w:tcW w:w="0" w:type="auto"/>
            <w:vAlign w:val="center"/>
          </w:tcPr>
          <w:p w:rsidR="006F0279" w:rsidRPr="00491253" w:rsidRDefault="00653818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○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0" w:type="auto"/>
            <w:vAlign w:val="center"/>
          </w:tcPr>
          <w:p w:rsidR="006F0279" w:rsidRPr="00491253" w:rsidRDefault="00653818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○</w:t>
            </w:r>
          </w:p>
        </w:tc>
        <w:tc>
          <w:tcPr>
            <w:tcW w:w="0" w:type="auto"/>
            <w:vAlign w:val="center"/>
          </w:tcPr>
          <w:p w:rsidR="006F0279" w:rsidRPr="00491253" w:rsidRDefault="00653818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○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0" w:type="auto"/>
            <w:vAlign w:val="center"/>
          </w:tcPr>
          <w:p w:rsidR="006F0279" w:rsidRPr="00491253" w:rsidRDefault="00653818" w:rsidP="006F0279">
            <w:pPr>
              <w:jc w:val="center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○</w:t>
            </w:r>
          </w:p>
        </w:tc>
        <w:tc>
          <w:tcPr>
            <w:tcW w:w="2283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2077" w:type="dxa"/>
            <w:vAlign w:val="center"/>
          </w:tcPr>
          <w:p w:rsidR="006F0279" w:rsidRPr="00491253" w:rsidRDefault="00653818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○</w:t>
            </w:r>
          </w:p>
        </w:tc>
        <w:tc>
          <w:tcPr>
            <w:tcW w:w="1928" w:type="dxa"/>
            <w:vAlign w:val="center"/>
          </w:tcPr>
          <w:p w:rsidR="006F0279" w:rsidRPr="00491253" w:rsidRDefault="00653818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○</w:t>
            </w:r>
          </w:p>
        </w:tc>
      </w:tr>
      <w:tr w:rsidR="006F0279" w:rsidRPr="00491253" w:rsidTr="0036444F">
        <w:trPr>
          <w:trHeight w:val="3236"/>
        </w:trPr>
        <w:tc>
          <w:tcPr>
            <w:tcW w:w="0" w:type="auto"/>
            <w:vMerge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0" w:type="auto"/>
            <w:vMerge/>
            <w:vAlign w:val="center"/>
          </w:tcPr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划定轨道交通安全保护区控制线；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预留控制轨道交通空间廊道。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鼓励存在连通需求的相邻地块建立地下人行连通道。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明确项目地下停车规模；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鼓励存在连通需求的相邻地块建立地下车行连通道。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在满足配建功能的基础上，适度发展地下公共服务配套设施。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同上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同上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同上</w:t>
            </w:r>
          </w:p>
        </w:tc>
        <w:tc>
          <w:tcPr>
            <w:tcW w:w="2283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同上</w:t>
            </w:r>
          </w:p>
        </w:tc>
        <w:tc>
          <w:tcPr>
            <w:tcW w:w="2077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同上</w:t>
            </w:r>
          </w:p>
        </w:tc>
        <w:tc>
          <w:tcPr>
            <w:tcW w:w="1928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同上</w:t>
            </w:r>
          </w:p>
        </w:tc>
      </w:tr>
      <w:tr w:rsidR="006F0279" w:rsidRPr="00491253" w:rsidTr="0036444F">
        <w:trPr>
          <w:trHeight w:val="589"/>
        </w:trPr>
        <w:tc>
          <w:tcPr>
            <w:tcW w:w="0" w:type="auto"/>
            <w:vMerge w:val="restart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一般功能区</w:t>
            </w:r>
          </w:p>
        </w:tc>
        <w:tc>
          <w:tcPr>
            <w:tcW w:w="0" w:type="auto"/>
            <w:vMerge w:val="restart"/>
            <w:vAlign w:val="center"/>
          </w:tcPr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区域地下与地上比例宜为0.1~0.3；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地下开发1层为主；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配建停车地下化率不宜低于25%。</w:t>
            </w:r>
          </w:p>
        </w:tc>
        <w:tc>
          <w:tcPr>
            <w:tcW w:w="0" w:type="auto"/>
            <w:vAlign w:val="center"/>
          </w:tcPr>
          <w:p w:rsidR="006F0279" w:rsidRPr="00491253" w:rsidRDefault="00653818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○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╳</w:t>
            </w:r>
          </w:p>
        </w:tc>
        <w:tc>
          <w:tcPr>
            <w:tcW w:w="0" w:type="auto"/>
            <w:vAlign w:val="center"/>
          </w:tcPr>
          <w:p w:rsidR="006F0279" w:rsidRPr="00491253" w:rsidRDefault="00653818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○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╳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╳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╳</w:t>
            </w:r>
          </w:p>
        </w:tc>
        <w:tc>
          <w:tcPr>
            <w:tcW w:w="2283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√</w:t>
            </w:r>
          </w:p>
        </w:tc>
        <w:tc>
          <w:tcPr>
            <w:tcW w:w="2077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╳</w:t>
            </w:r>
          </w:p>
        </w:tc>
        <w:tc>
          <w:tcPr>
            <w:tcW w:w="1928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╳</w:t>
            </w:r>
          </w:p>
        </w:tc>
      </w:tr>
      <w:tr w:rsidR="006F0279" w:rsidRPr="00491253" w:rsidTr="0036444F">
        <w:trPr>
          <w:trHeight w:val="2875"/>
        </w:trPr>
        <w:tc>
          <w:tcPr>
            <w:tcW w:w="0" w:type="auto"/>
            <w:vMerge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0" w:type="auto"/>
            <w:vMerge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color w:val="000000"/>
                <w:kern w:val="24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划定轨道交通安全保护区控制线；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预留控制轨道交通空间廊道。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——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widowControl/>
              <w:ind w:firstLineChars="200" w:firstLine="420"/>
              <w:jc w:val="left"/>
              <w:rPr>
                <w:rFonts w:asciiTheme="minorEastAsia" w:hAnsiTheme="minorEastAsia" w:cs="Arial"/>
                <w:kern w:val="0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地下停车设施结合人防工程建设；</w:t>
            </w:r>
          </w:p>
          <w:p w:rsidR="006F0279" w:rsidRPr="00491253" w:rsidRDefault="006F0279" w:rsidP="006F0279">
            <w:pPr>
              <w:ind w:firstLineChars="200" w:firstLine="420"/>
              <w:jc w:val="left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cs="Arial" w:hint="eastAsia"/>
                <w:color w:val="000000"/>
                <w:kern w:val="24"/>
                <w:szCs w:val="21"/>
              </w:rPr>
              <w:t>鼓励结合区位条件较好的公共绿地适当布置地下公共停车设施。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——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——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同上</w:t>
            </w:r>
          </w:p>
        </w:tc>
        <w:tc>
          <w:tcPr>
            <w:tcW w:w="0" w:type="auto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——</w:t>
            </w:r>
          </w:p>
        </w:tc>
        <w:tc>
          <w:tcPr>
            <w:tcW w:w="2283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同上</w:t>
            </w:r>
          </w:p>
        </w:tc>
        <w:tc>
          <w:tcPr>
            <w:tcW w:w="2077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——</w:t>
            </w:r>
          </w:p>
        </w:tc>
        <w:tc>
          <w:tcPr>
            <w:tcW w:w="1928" w:type="dxa"/>
            <w:vAlign w:val="center"/>
          </w:tcPr>
          <w:p w:rsidR="006F0279" w:rsidRPr="00491253" w:rsidRDefault="006F0279" w:rsidP="006F0279">
            <w:pPr>
              <w:jc w:val="center"/>
              <w:rPr>
                <w:rFonts w:asciiTheme="minorEastAsia" w:hAnsiTheme="minorEastAsia"/>
                <w:szCs w:val="21"/>
              </w:rPr>
            </w:pPr>
            <w:r w:rsidRPr="00491253">
              <w:rPr>
                <w:rFonts w:asciiTheme="minorEastAsia" w:hAnsiTheme="minorEastAsia" w:hint="eastAsia"/>
                <w:szCs w:val="21"/>
              </w:rPr>
              <w:t>——</w:t>
            </w:r>
          </w:p>
        </w:tc>
      </w:tr>
    </w:tbl>
    <w:p w:rsidR="0091656B" w:rsidRPr="000739B5" w:rsidRDefault="00491253" w:rsidP="006525A6">
      <w:pPr>
        <w:jc w:val="right"/>
        <w:rPr>
          <w:rFonts w:ascii="华文细黑" w:eastAsia="华文细黑" w:hAnsi="华文细黑" w:cs="Arial"/>
          <w:color w:val="000000"/>
          <w:kern w:val="0"/>
          <w:sz w:val="18"/>
          <w:szCs w:val="18"/>
        </w:rPr>
      </w:pPr>
      <w:r w:rsidRPr="000739B5">
        <w:rPr>
          <w:rFonts w:ascii="华文细黑" w:eastAsia="华文细黑" w:hAnsi="华文细黑" w:cs="Arial" w:hint="eastAsia"/>
          <w:color w:val="000000"/>
          <w:kern w:val="0"/>
          <w:sz w:val="18"/>
          <w:szCs w:val="18"/>
        </w:rPr>
        <w:t>（</w:t>
      </w:r>
      <w:r w:rsidRPr="00653818">
        <w:rPr>
          <w:rFonts w:ascii="华文细黑" w:eastAsia="华文细黑" w:hAnsi="华文细黑" w:cs="Arial" w:hint="eastAsia"/>
          <w:color w:val="000000"/>
          <w:kern w:val="0"/>
          <w:sz w:val="18"/>
          <w:szCs w:val="18"/>
        </w:rPr>
        <w:t>说明：</w:t>
      </w:r>
      <w:r w:rsidRPr="00653818">
        <w:rPr>
          <w:rFonts w:ascii="华文细黑" w:eastAsia="华文细黑" w:hAnsi="华文细黑" w:cs="Arial"/>
          <w:color w:val="000000"/>
          <w:kern w:val="0"/>
          <w:sz w:val="18"/>
          <w:szCs w:val="18"/>
        </w:rPr>
        <w:t>√——必须发展，</w:t>
      </w:r>
      <w:r w:rsidR="00653818" w:rsidRPr="00653818">
        <w:rPr>
          <w:rFonts w:asciiTheme="minorEastAsia" w:hAnsiTheme="minorEastAsia" w:cs="Arial" w:hint="eastAsia"/>
          <w:color w:val="000000"/>
          <w:kern w:val="24"/>
          <w:sz w:val="18"/>
          <w:szCs w:val="18"/>
        </w:rPr>
        <w:t>○</w:t>
      </w:r>
      <w:r w:rsidRPr="00653818">
        <w:rPr>
          <w:rFonts w:ascii="华文细黑" w:eastAsia="华文细黑" w:hAnsi="华文细黑" w:cs="Arial"/>
          <w:color w:val="000000"/>
          <w:kern w:val="0"/>
          <w:sz w:val="18"/>
          <w:szCs w:val="18"/>
        </w:rPr>
        <w:t>——选择发展，╳——不</w:t>
      </w:r>
      <w:r w:rsidR="00653818" w:rsidRPr="00653818">
        <w:rPr>
          <w:rFonts w:ascii="华文细黑" w:eastAsia="华文细黑" w:hAnsi="华文细黑" w:cs="Arial" w:hint="eastAsia"/>
          <w:color w:val="000000"/>
          <w:kern w:val="0"/>
          <w:sz w:val="18"/>
          <w:szCs w:val="18"/>
        </w:rPr>
        <w:t>强制</w:t>
      </w:r>
      <w:r w:rsidRPr="00653818">
        <w:rPr>
          <w:rFonts w:ascii="华文细黑" w:eastAsia="华文细黑" w:hAnsi="华文细黑" w:cs="Arial"/>
          <w:color w:val="000000"/>
          <w:kern w:val="0"/>
          <w:sz w:val="18"/>
          <w:szCs w:val="18"/>
        </w:rPr>
        <w:t>发展</w:t>
      </w:r>
      <w:r w:rsidRPr="00653818">
        <w:rPr>
          <w:rFonts w:ascii="华文细黑" w:eastAsia="华文细黑" w:hAnsi="华文细黑" w:cs="Arial" w:hint="eastAsia"/>
          <w:color w:val="000000"/>
          <w:kern w:val="0"/>
          <w:sz w:val="18"/>
          <w:szCs w:val="18"/>
        </w:rPr>
        <w:t>）</w:t>
      </w:r>
    </w:p>
    <w:sectPr w:rsidR="0091656B" w:rsidRPr="000739B5" w:rsidSect="00E26F4F">
      <w:pgSz w:w="23814" w:h="16840" w:orient="landscape"/>
      <w:pgMar w:top="993" w:right="1134" w:bottom="993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782" w:rsidRDefault="00D35782" w:rsidP="00D35782">
      <w:r>
        <w:separator/>
      </w:r>
    </w:p>
  </w:endnote>
  <w:endnote w:type="continuationSeparator" w:id="1">
    <w:p w:rsidR="00D35782" w:rsidRDefault="00D35782" w:rsidP="00D357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782" w:rsidRDefault="00D35782" w:rsidP="00D35782">
      <w:r>
        <w:separator/>
      </w:r>
    </w:p>
  </w:footnote>
  <w:footnote w:type="continuationSeparator" w:id="1">
    <w:p w:rsidR="00D35782" w:rsidRDefault="00D35782" w:rsidP="00D357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3E08"/>
    <w:rsid w:val="000739B5"/>
    <w:rsid w:val="002559CA"/>
    <w:rsid w:val="002E78A3"/>
    <w:rsid w:val="00352669"/>
    <w:rsid w:val="0036444F"/>
    <w:rsid w:val="0041546A"/>
    <w:rsid w:val="00491253"/>
    <w:rsid w:val="005278ED"/>
    <w:rsid w:val="00565D67"/>
    <w:rsid w:val="006525A6"/>
    <w:rsid w:val="00653818"/>
    <w:rsid w:val="006A6A2E"/>
    <w:rsid w:val="006F0279"/>
    <w:rsid w:val="0091656B"/>
    <w:rsid w:val="00943E08"/>
    <w:rsid w:val="009C30D5"/>
    <w:rsid w:val="00A35AE2"/>
    <w:rsid w:val="00C31EBE"/>
    <w:rsid w:val="00D35782"/>
    <w:rsid w:val="00D529AF"/>
    <w:rsid w:val="00E26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4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3E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35"/>
    <w:unhideWhenUsed/>
    <w:qFormat/>
    <w:rsid w:val="00943E08"/>
    <w:rPr>
      <w:rFonts w:asciiTheme="majorHAnsi" w:eastAsia="黑体" w:hAnsiTheme="majorHAnsi" w:cstheme="majorBidi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D357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3578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357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357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7DF16-44BD-4C54-8695-866E28A59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朱良成</dc:creator>
  <cp:lastModifiedBy>zhu liangcheng</cp:lastModifiedBy>
  <cp:revision>8</cp:revision>
  <cp:lastPrinted>2020-10-22T08:21:00Z</cp:lastPrinted>
  <dcterms:created xsi:type="dcterms:W3CDTF">2020-10-22T07:57:00Z</dcterms:created>
  <dcterms:modified xsi:type="dcterms:W3CDTF">2020-11-08T03:51:00Z</dcterms:modified>
</cp:coreProperties>
</file>