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F07" w:rsidRDefault="00075F07" w:rsidP="00C2225B">
      <w:pPr>
        <w:spacing w:line="360" w:lineRule="auto"/>
        <w:jc w:val="center"/>
        <w:rPr>
          <w:rFonts w:ascii="华文细黑" w:eastAsia="华文细黑" w:hAnsi="华文细黑" w:hint="eastAsia"/>
          <w:b/>
          <w:bCs/>
          <w:sz w:val="32"/>
          <w:szCs w:val="32"/>
        </w:rPr>
      </w:pPr>
    </w:p>
    <w:p w:rsidR="00075F07" w:rsidRDefault="00075F07" w:rsidP="00C2225B">
      <w:pPr>
        <w:spacing w:line="360" w:lineRule="auto"/>
        <w:jc w:val="center"/>
        <w:rPr>
          <w:rFonts w:ascii="华文细黑" w:eastAsia="华文细黑" w:hAnsi="华文细黑"/>
          <w:b/>
          <w:bCs/>
          <w:sz w:val="32"/>
          <w:szCs w:val="32"/>
        </w:rPr>
      </w:pPr>
    </w:p>
    <w:p w:rsidR="00075F07" w:rsidRDefault="00075F07" w:rsidP="00C2225B">
      <w:pPr>
        <w:spacing w:line="360" w:lineRule="auto"/>
        <w:jc w:val="center"/>
        <w:rPr>
          <w:rFonts w:ascii="华文细黑" w:eastAsia="华文细黑" w:hAnsi="华文细黑"/>
          <w:b/>
          <w:bCs/>
          <w:sz w:val="32"/>
          <w:szCs w:val="32"/>
        </w:rPr>
      </w:pPr>
    </w:p>
    <w:p w:rsidR="00075F07" w:rsidRDefault="00075F07" w:rsidP="00C2225B">
      <w:pPr>
        <w:spacing w:line="360" w:lineRule="auto"/>
        <w:jc w:val="center"/>
        <w:rPr>
          <w:rFonts w:ascii="华文细黑" w:eastAsia="华文细黑" w:hAnsi="华文细黑"/>
          <w:b/>
          <w:bCs/>
          <w:sz w:val="32"/>
          <w:szCs w:val="32"/>
        </w:rPr>
      </w:pPr>
    </w:p>
    <w:p w:rsidR="00BB7D0D" w:rsidRPr="00075F07" w:rsidRDefault="00173EE3" w:rsidP="00C2225B">
      <w:pPr>
        <w:spacing w:line="360" w:lineRule="auto"/>
        <w:jc w:val="center"/>
        <w:rPr>
          <w:rFonts w:ascii="华文细黑" w:eastAsia="华文细黑" w:hAnsi="华文细黑"/>
          <w:b/>
          <w:bCs/>
          <w:sz w:val="40"/>
          <w:szCs w:val="40"/>
        </w:rPr>
      </w:pPr>
      <w:r w:rsidRPr="00075F07">
        <w:rPr>
          <w:rFonts w:ascii="华文细黑" w:eastAsia="华文细黑" w:hAnsi="华文细黑" w:hint="eastAsia"/>
          <w:b/>
          <w:bCs/>
          <w:sz w:val="40"/>
          <w:szCs w:val="40"/>
        </w:rPr>
        <w:t>临港新片区地下空间规划设计导则（试行）</w:t>
      </w:r>
    </w:p>
    <w:p w:rsidR="001C09F4" w:rsidRPr="00075F07" w:rsidRDefault="001C09F4" w:rsidP="00C2225B">
      <w:pPr>
        <w:spacing w:line="360" w:lineRule="auto"/>
        <w:jc w:val="center"/>
        <w:rPr>
          <w:rFonts w:ascii="华文细黑" w:eastAsia="华文细黑" w:hAnsi="华文细黑"/>
          <w:sz w:val="40"/>
          <w:szCs w:val="40"/>
        </w:rPr>
      </w:pPr>
    </w:p>
    <w:p w:rsidR="00075F07" w:rsidRDefault="00075F07" w:rsidP="00C2225B">
      <w:pPr>
        <w:spacing w:line="360" w:lineRule="auto"/>
        <w:jc w:val="center"/>
        <w:rPr>
          <w:rFonts w:ascii="华文细黑" w:eastAsia="华文细黑" w:hAnsi="华文细黑"/>
          <w:sz w:val="32"/>
          <w:szCs w:val="32"/>
        </w:rPr>
      </w:pPr>
    </w:p>
    <w:p w:rsidR="00075F07" w:rsidRDefault="00075F07" w:rsidP="00C2225B">
      <w:pPr>
        <w:spacing w:line="360" w:lineRule="auto"/>
        <w:jc w:val="center"/>
        <w:rPr>
          <w:rFonts w:ascii="华文细黑" w:eastAsia="华文细黑" w:hAnsi="华文细黑"/>
          <w:sz w:val="32"/>
          <w:szCs w:val="32"/>
        </w:rPr>
      </w:pPr>
    </w:p>
    <w:p w:rsidR="00075F07" w:rsidRDefault="00075F07" w:rsidP="00C2225B">
      <w:pPr>
        <w:spacing w:line="360" w:lineRule="auto"/>
        <w:jc w:val="center"/>
        <w:rPr>
          <w:rFonts w:ascii="华文细黑" w:eastAsia="华文细黑" w:hAnsi="华文细黑"/>
          <w:sz w:val="32"/>
          <w:szCs w:val="32"/>
        </w:rPr>
      </w:pPr>
    </w:p>
    <w:p w:rsidR="00075F07" w:rsidRDefault="00075F07" w:rsidP="00C2225B">
      <w:pPr>
        <w:spacing w:line="360" w:lineRule="auto"/>
        <w:jc w:val="center"/>
        <w:rPr>
          <w:rFonts w:ascii="华文细黑" w:eastAsia="华文细黑" w:hAnsi="华文细黑"/>
          <w:sz w:val="32"/>
          <w:szCs w:val="32"/>
        </w:rPr>
      </w:pPr>
    </w:p>
    <w:p w:rsidR="00075F07" w:rsidRDefault="00075F07" w:rsidP="00C2225B">
      <w:pPr>
        <w:spacing w:line="360" w:lineRule="auto"/>
        <w:jc w:val="center"/>
        <w:rPr>
          <w:rFonts w:ascii="华文细黑" w:eastAsia="华文细黑" w:hAnsi="华文细黑"/>
          <w:sz w:val="32"/>
          <w:szCs w:val="32"/>
        </w:rPr>
      </w:pPr>
    </w:p>
    <w:p w:rsidR="00075F07" w:rsidRDefault="00075F07" w:rsidP="00C2225B">
      <w:pPr>
        <w:spacing w:line="360" w:lineRule="auto"/>
        <w:jc w:val="center"/>
        <w:rPr>
          <w:rFonts w:ascii="华文细黑" w:eastAsia="华文细黑" w:hAnsi="华文细黑"/>
          <w:sz w:val="32"/>
          <w:szCs w:val="32"/>
        </w:rPr>
      </w:pPr>
    </w:p>
    <w:p w:rsidR="00075F07" w:rsidRDefault="00075F07" w:rsidP="00C2225B">
      <w:pPr>
        <w:spacing w:line="360" w:lineRule="auto"/>
        <w:jc w:val="center"/>
        <w:rPr>
          <w:rFonts w:ascii="华文细黑" w:eastAsia="华文细黑" w:hAnsi="华文细黑"/>
          <w:sz w:val="32"/>
          <w:szCs w:val="32"/>
        </w:rPr>
      </w:pPr>
    </w:p>
    <w:p w:rsidR="00075F07" w:rsidRDefault="00075F07" w:rsidP="00C2225B">
      <w:pPr>
        <w:spacing w:line="360" w:lineRule="auto"/>
        <w:jc w:val="center"/>
        <w:rPr>
          <w:rFonts w:ascii="华文细黑" w:eastAsia="华文细黑" w:hAnsi="华文细黑"/>
          <w:sz w:val="32"/>
          <w:szCs w:val="32"/>
        </w:rPr>
      </w:pPr>
    </w:p>
    <w:p w:rsidR="00075F07" w:rsidRDefault="00075F07" w:rsidP="00C2225B">
      <w:pPr>
        <w:spacing w:line="360" w:lineRule="auto"/>
        <w:jc w:val="center"/>
        <w:rPr>
          <w:rFonts w:ascii="华文细黑" w:eastAsia="华文细黑" w:hAnsi="华文细黑"/>
          <w:sz w:val="32"/>
          <w:szCs w:val="32"/>
        </w:rPr>
      </w:pPr>
    </w:p>
    <w:p w:rsidR="00075F07" w:rsidRDefault="00075F07" w:rsidP="00C2225B">
      <w:pPr>
        <w:spacing w:line="360" w:lineRule="auto"/>
        <w:jc w:val="center"/>
        <w:rPr>
          <w:rFonts w:ascii="华文细黑" w:eastAsia="华文细黑" w:hAnsi="华文细黑"/>
          <w:sz w:val="32"/>
          <w:szCs w:val="32"/>
        </w:rPr>
      </w:pPr>
    </w:p>
    <w:p w:rsidR="00075F07" w:rsidRPr="00075F07" w:rsidRDefault="00075F07" w:rsidP="00C2225B">
      <w:pPr>
        <w:spacing w:line="360" w:lineRule="auto"/>
        <w:jc w:val="center"/>
        <w:rPr>
          <w:rFonts w:ascii="华文细黑" w:eastAsia="华文细黑" w:hAnsi="华文细黑"/>
          <w:sz w:val="28"/>
          <w:szCs w:val="28"/>
        </w:rPr>
      </w:pPr>
      <w:r w:rsidRPr="00075F07">
        <w:rPr>
          <w:rFonts w:ascii="华文细黑" w:eastAsia="华文细黑" w:hAnsi="华文细黑" w:hint="eastAsia"/>
          <w:sz w:val="28"/>
          <w:szCs w:val="28"/>
        </w:rPr>
        <w:t>中国（上海）自由贸易试验区临港新片区管理委员会</w:t>
      </w:r>
    </w:p>
    <w:p w:rsidR="00075F07" w:rsidRPr="00075F07" w:rsidRDefault="00075F07" w:rsidP="00C2225B">
      <w:pPr>
        <w:spacing w:line="360" w:lineRule="auto"/>
        <w:jc w:val="center"/>
        <w:rPr>
          <w:rFonts w:ascii="华文细黑" w:eastAsia="华文细黑" w:hAnsi="华文细黑"/>
          <w:sz w:val="28"/>
          <w:szCs w:val="28"/>
        </w:rPr>
      </w:pPr>
      <w:r w:rsidRPr="00075F07">
        <w:rPr>
          <w:rFonts w:ascii="华文细黑" w:eastAsia="华文细黑" w:hAnsi="华文细黑"/>
          <w:sz w:val="28"/>
          <w:szCs w:val="28"/>
        </w:rPr>
        <w:t>2020年1</w:t>
      </w:r>
      <w:r w:rsidR="00EF1166">
        <w:rPr>
          <w:rFonts w:ascii="华文细黑" w:eastAsia="华文细黑" w:hAnsi="华文细黑"/>
          <w:sz w:val="28"/>
          <w:szCs w:val="28"/>
        </w:rPr>
        <w:t>1</w:t>
      </w:r>
      <w:r w:rsidRPr="00075F07">
        <w:rPr>
          <w:rFonts w:ascii="华文细黑" w:eastAsia="华文细黑" w:hAnsi="华文细黑"/>
          <w:sz w:val="28"/>
          <w:szCs w:val="28"/>
        </w:rPr>
        <w:t>月</w:t>
      </w:r>
    </w:p>
    <w:p w:rsidR="00A07F2D" w:rsidRDefault="00A07F2D" w:rsidP="00C2225B">
      <w:pPr>
        <w:widowControl/>
        <w:spacing w:line="360" w:lineRule="auto"/>
        <w:jc w:val="left"/>
        <w:rPr>
          <w:rFonts w:ascii="华文细黑" w:eastAsia="华文细黑" w:hAnsi="华文细黑"/>
          <w:sz w:val="32"/>
          <w:szCs w:val="32"/>
        </w:rPr>
      </w:pPr>
      <w:r>
        <w:rPr>
          <w:rFonts w:ascii="华文细黑" w:eastAsia="华文细黑" w:hAnsi="华文细黑"/>
          <w:sz w:val="32"/>
          <w:szCs w:val="32"/>
        </w:rPr>
        <w:br w:type="page"/>
      </w:r>
    </w:p>
    <w:p w:rsidR="00075F07" w:rsidRDefault="00075F07" w:rsidP="00C2225B">
      <w:pPr>
        <w:spacing w:line="360" w:lineRule="auto"/>
        <w:jc w:val="center"/>
        <w:rPr>
          <w:rFonts w:ascii="华文细黑" w:eastAsia="华文细黑" w:hAnsi="华文细黑"/>
          <w:sz w:val="28"/>
          <w:szCs w:val="28"/>
        </w:rPr>
        <w:sectPr w:rsidR="00075F07" w:rsidSect="00075F07">
          <w:footerReference w:type="default" r:id="rId8"/>
          <w:headerReference w:type="first" r:id="rId9"/>
          <w:pgSz w:w="12240" w:h="15840"/>
          <w:pgMar w:top="1440" w:right="1800" w:bottom="1440" w:left="1800" w:header="720" w:footer="720" w:gutter="0"/>
          <w:cols w:space="720"/>
          <w:titlePg/>
          <w:docGrid w:linePitch="286"/>
        </w:sectPr>
      </w:pPr>
    </w:p>
    <w:p w:rsidR="00A07F2D" w:rsidRPr="00503AC8" w:rsidRDefault="00A07F2D" w:rsidP="00C2225B">
      <w:pPr>
        <w:spacing w:line="360" w:lineRule="auto"/>
        <w:jc w:val="center"/>
        <w:rPr>
          <w:rFonts w:ascii="华文细黑" w:eastAsia="华文细黑" w:hAnsi="华文细黑"/>
          <w:b/>
          <w:bCs/>
          <w:sz w:val="28"/>
          <w:szCs w:val="28"/>
        </w:rPr>
      </w:pPr>
      <w:r w:rsidRPr="00503AC8">
        <w:rPr>
          <w:rFonts w:ascii="华文细黑" w:eastAsia="华文细黑" w:hAnsi="华文细黑" w:hint="eastAsia"/>
          <w:b/>
          <w:bCs/>
          <w:sz w:val="28"/>
          <w:szCs w:val="28"/>
        </w:rPr>
        <w:t>目录</w:t>
      </w:r>
    </w:p>
    <w:p w:rsidR="004266D3" w:rsidRDefault="00B2470A" w:rsidP="002227BC">
      <w:pPr>
        <w:pStyle w:val="10"/>
        <w:spacing w:line="312" w:lineRule="auto"/>
        <w:rPr>
          <w:rFonts w:asciiTheme="minorHAnsi" w:eastAsiaTheme="minorEastAsia" w:hAnsiTheme="minorHAnsi" w:cstheme="minorBidi"/>
          <w:b w:val="0"/>
          <w:bCs w:val="0"/>
          <w:caps w:val="0"/>
          <w:sz w:val="21"/>
        </w:rPr>
      </w:pPr>
      <w:r w:rsidRPr="00A66B8F">
        <w:rPr>
          <w:sz w:val="28"/>
          <w:szCs w:val="28"/>
        </w:rPr>
        <w:fldChar w:fldCharType="begin"/>
      </w:r>
      <w:r w:rsidR="00075F07" w:rsidRPr="00A66B8F">
        <w:rPr>
          <w:rFonts w:hint="eastAsia"/>
          <w:sz w:val="28"/>
          <w:szCs w:val="28"/>
        </w:rPr>
        <w:instrText>TOC \o "1-3" \h \z \u</w:instrText>
      </w:r>
      <w:r w:rsidRPr="00A66B8F">
        <w:rPr>
          <w:sz w:val="28"/>
          <w:szCs w:val="28"/>
        </w:rPr>
        <w:fldChar w:fldCharType="separate"/>
      </w:r>
      <w:hyperlink w:anchor="_Toc55729007" w:history="1">
        <w:r w:rsidR="004266D3" w:rsidRPr="0053000A">
          <w:rPr>
            <w:rStyle w:val="a8"/>
          </w:rPr>
          <w:t>1 总则</w:t>
        </w:r>
        <w:r w:rsidR="004266D3">
          <w:rPr>
            <w:webHidden/>
          </w:rPr>
          <w:tab/>
        </w:r>
        <w:r>
          <w:rPr>
            <w:webHidden/>
          </w:rPr>
          <w:fldChar w:fldCharType="begin"/>
        </w:r>
        <w:r w:rsidR="004266D3">
          <w:rPr>
            <w:webHidden/>
          </w:rPr>
          <w:instrText xml:space="preserve"> PAGEREF _Toc55729007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76C75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4266D3" w:rsidRDefault="00A555F9" w:rsidP="002227BC">
      <w:pPr>
        <w:pStyle w:val="20"/>
        <w:tabs>
          <w:tab w:val="right" w:leader="dot" w:pos="8630"/>
        </w:tabs>
        <w:spacing w:line="312" w:lineRule="auto"/>
        <w:rPr>
          <w:rFonts w:eastAsiaTheme="minorEastAsia" w:hAnsiTheme="minorHAnsi" w:cstheme="minorBidi"/>
          <w:smallCaps w:val="0"/>
          <w:noProof/>
          <w:sz w:val="21"/>
          <w:szCs w:val="22"/>
        </w:rPr>
      </w:pPr>
      <w:hyperlink w:anchor="_Toc55729008" w:history="1">
        <w:r w:rsidR="004266D3" w:rsidRPr="0053000A">
          <w:rPr>
            <w:rStyle w:val="a8"/>
            <w:rFonts w:ascii="华文细黑" w:eastAsia="华文细黑" w:hAnsi="华文细黑"/>
            <w:noProof/>
          </w:rPr>
          <w:t>1.1 基本要求</w:t>
        </w:r>
        <w:r w:rsidR="004266D3">
          <w:rPr>
            <w:noProof/>
            <w:webHidden/>
          </w:rPr>
          <w:tab/>
        </w:r>
        <w:r w:rsidR="00B2470A">
          <w:rPr>
            <w:noProof/>
            <w:webHidden/>
          </w:rPr>
          <w:fldChar w:fldCharType="begin"/>
        </w:r>
        <w:r w:rsidR="004266D3">
          <w:rPr>
            <w:noProof/>
            <w:webHidden/>
          </w:rPr>
          <w:instrText xml:space="preserve"> PAGEREF _Toc55729008 \h </w:instrText>
        </w:r>
        <w:r w:rsidR="00B2470A">
          <w:rPr>
            <w:noProof/>
            <w:webHidden/>
          </w:rPr>
        </w:r>
        <w:r w:rsidR="00B2470A">
          <w:rPr>
            <w:noProof/>
            <w:webHidden/>
          </w:rPr>
          <w:fldChar w:fldCharType="separate"/>
        </w:r>
        <w:r w:rsidR="00476C75">
          <w:rPr>
            <w:noProof/>
            <w:webHidden/>
          </w:rPr>
          <w:t>1</w:t>
        </w:r>
        <w:r w:rsidR="00B2470A">
          <w:rPr>
            <w:noProof/>
            <w:webHidden/>
          </w:rPr>
          <w:fldChar w:fldCharType="end"/>
        </w:r>
      </w:hyperlink>
    </w:p>
    <w:p w:rsidR="004266D3" w:rsidRDefault="00A555F9" w:rsidP="002227BC">
      <w:pPr>
        <w:pStyle w:val="20"/>
        <w:tabs>
          <w:tab w:val="right" w:leader="dot" w:pos="8630"/>
        </w:tabs>
        <w:spacing w:line="312" w:lineRule="auto"/>
        <w:rPr>
          <w:rFonts w:eastAsiaTheme="minorEastAsia" w:hAnsiTheme="minorHAnsi" w:cstheme="minorBidi"/>
          <w:smallCaps w:val="0"/>
          <w:noProof/>
          <w:sz w:val="21"/>
          <w:szCs w:val="22"/>
        </w:rPr>
      </w:pPr>
      <w:hyperlink w:anchor="_Toc55729009" w:history="1">
        <w:r w:rsidR="004266D3" w:rsidRPr="0053000A">
          <w:rPr>
            <w:rStyle w:val="a8"/>
            <w:rFonts w:ascii="华文细黑" w:eastAsia="华文细黑" w:hAnsi="华文细黑"/>
            <w:noProof/>
          </w:rPr>
          <w:t>1.2 目标理念</w:t>
        </w:r>
        <w:r w:rsidR="004266D3">
          <w:rPr>
            <w:noProof/>
            <w:webHidden/>
          </w:rPr>
          <w:tab/>
        </w:r>
        <w:r w:rsidR="00B2470A">
          <w:rPr>
            <w:noProof/>
            <w:webHidden/>
          </w:rPr>
          <w:fldChar w:fldCharType="begin"/>
        </w:r>
        <w:r w:rsidR="004266D3">
          <w:rPr>
            <w:noProof/>
            <w:webHidden/>
          </w:rPr>
          <w:instrText xml:space="preserve"> PAGEREF _Toc55729009 \h </w:instrText>
        </w:r>
        <w:r w:rsidR="00B2470A">
          <w:rPr>
            <w:noProof/>
            <w:webHidden/>
          </w:rPr>
        </w:r>
        <w:r w:rsidR="00B2470A">
          <w:rPr>
            <w:noProof/>
            <w:webHidden/>
          </w:rPr>
          <w:fldChar w:fldCharType="separate"/>
        </w:r>
        <w:r w:rsidR="00476C75">
          <w:rPr>
            <w:noProof/>
            <w:webHidden/>
          </w:rPr>
          <w:t>1</w:t>
        </w:r>
        <w:r w:rsidR="00B2470A">
          <w:rPr>
            <w:noProof/>
            <w:webHidden/>
          </w:rPr>
          <w:fldChar w:fldCharType="end"/>
        </w:r>
      </w:hyperlink>
    </w:p>
    <w:p w:rsidR="004266D3" w:rsidRDefault="00A555F9" w:rsidP="002227BC">
      <w:pPr>
        <w:pStyle w:val="10"/>
        <w:spacing w:line="312" w:lineRule="auto"/>
        <w:rPr>
          <w:rFonts w:asciiTheme="minorHAnsi" w:eastAsiaTheme="minorEastAsia" w:hAnsiTheme="minorHAnsi" w:cstheme="minorBidi"/>
          <w:b w:val="0"/>
          <w:bCs w:val="0"/>
          <w:caps w:val="0"/>
          <w:sz w:val="21"/>
        </w:rPr>
      </w:pPr>
      <w:hyperlink w:anchor="_Toc55729010" w:history="1">
        <w:r w:rsidR="004266D3" w:rsidRPr="0053000A">
          <w:rPr>
            <w:rStyle w:val="a8"/>
          </w:rPr>
          <w:t>2 总体规划指引</w:t>
        </w:r>
        <w:r w:rsidR="004266D3">
          <w:rPr>
            <w:webHidden/>
          </w:rPr>
          <w:tab/>
        </w:r>
        <w:r w:rsidR="00B2470A">
          <w:rPr>
            <w:webHidden/>
          </w:rPr>
          <w:fldChar w:fldCharType="begin"/>
        </w:r>
        <w:r w:rsidR="004266D3">
          <w:rPr>
            <w:webHidden/>
          </w:rPr>
          <w:instrText xml:space="preserve"> PAGEREF _Toc55729010 \h </w:instrText>
        </w:r>
        <w:r w:rsidR="00B2470A">
          <w:rPr>
            <w:webHidden/>
          </w:rPr>
        </w:r>
        <w:r w:rsidR="00B2470A">
          <w:rPr>
            <w:webHidden/>
          </w:rPr>
          <w:fldChar w:fldCharType="separate"/>
        </w:r>
        <w:r w:rsidR="00476C75">
          <w:rPr>
            <w:webHidden/>
          </w:rPr>
          <w:t>2</w:t>
        </w:r>
        <w:r w:rsidR="00B2470A">
          <w:rPr>
            <w:webHidden/>
          </w:rPr>
          <w:fldChar w:fldCharType="end"/>
        </w:r>
      </w:hyperlink>
    </w:p>
    <w:p w:rsidR="004266D3" w:rsidRDefault="00A555F9" w:rsidP="002227BC">
      <w:pPr>
        <w:pStyle w:val="20"/>
        <w:tabs>
          <w:tab w:val="right" w:leader="dot" w:pos="8630"/>
        </w:tabs>
        <w:spacing w:line="312" w:lineRule="auto"/>
        <w:rPr>
          <w:rFonts w:eastAsiaTheme="minorEastAsia" w:hAnsiTheme="minorHAnsi" w:cstheme="minorBidi"/>
          <w:smallCaps w:val="0"/>
          <w:noProof/>
          <w:sz w:val="21"/>
          <w:szCs w:val="22"/>
        </w:rPr>
      </w:pPr>
      <w:hyperlink w:anchor="_Toc55729011" w:history="1">
        <w:r w:rsidR="004266D3" w:rsidRPr="0053000A">
          <w:rPr>
            <w:rStyle w:val="a8"/>
            <w:rFonts w:ascii="华文细黑" w:eastAsia="华文细黑" w:hAnsi="华文细黑"/>
            <w:noProof/>
          </w:rPr>
          <w:t>2.1 地下空间总体结构</w:t>
        </w:r>
        <w:r w:rsidR="004266D3">
          <w:rPr>
            <w:noProof/>
            <w:webHidden/>
          </w:rPr>
          <w:tab/>
        </w:r>
        <w:r w:rsidR="00B2470A">
          <w:rPr>
            <w:noProof/>
            <w:webHidden/>
          </w:rPr>
          <w:fldChar w:fldCharType="begin"/>
        </w:r>
        <w:r w:rsidR="004266D3">
          <w:rPr>
            <w:noProof/>
            <w:webHidden/>
          </w:rPr>
          <w:instrText xml:space="preserve"> PAGEREF _Toc55729011 \h </w:instrText>
        </w:r>
        <w:r w:rsidR="00B2470A">
          <w:rPr>
            <w:noProof/>
            <w:webHidden/>
          </w:rPr>
        </w:r>
        <w:r w:rsidR="00B2470A">
          <w:rPr>
            <w:noProof/>
            <w:webHidden/>
          </w:rPr>
          <w:fldChar w:fldCharType="separate"/>
        </w:r>
        <w:r w:rsidR="00476C75">
          <w:rPr>
            <w:noProof/>
            <w:webHidden/>
          </w:rPr>
          <w:t>2</w:t>
        </w:r>
        <w:r w:rsidR="00B2470A">
          <w:rPr>
            <w:noProof/>
            <w:webHidden/>
          </w:rPr>
          <w:fldChar w:fldCharType="end"/>
        </w:r>
      </w:hyperlink>
    </w:p>
    <w:p w:rsidR="004266D3" w:rsidRDefault="00A555F9" w:rsidP="002227BC">
      <w:pPr>
        <w:pStyle w:val="20"/>
        <w:tabs>
          <w:tab w:val="right" w:leader="dot" w:pos="8630"/>
        </w:tabs>
        <w:spacing w:line="312" w:lineRule="auto"/>
        <w:rPr>
          <w:rFonts w:eastAsiaTheme="minorEastAsia" w:hAnsiTheme="minorHAnsi" w:cstheme="minorBidi"/>
          <w:smallCaps w:val="0"/>
          <w:noProof/>
          <w:sz w:val="21"/>
          <w:szCs w:val="22"/>
        </w:rPr>
      </w:pPr>
      <w:hyperlink w:anchor="_Toc55729012" w:history="1">
        <w:r w:rsidR="004266D3" w:rsidRPr="0053000A">
          <w:rPr>
            <w:rStyle w:val="a8"/>
            <w:rFonts w:ascii="华文细黑" w:eastAsia="华文细黑" w:hAnsi="华文细黑"/>
            <w:noProof/>
          </w:rPr>
          <w:t>2.2 地下空间功能类型</w:t>
        </w:r>
        <w:r w:rsidR="004266D3">
          <w:rPr>
            <w:noProof/>
            <w:webHidden/>
          </w:rPr>
          <w:tab/>
        </w:r>
        <w:r w:rsidR="00B2470A">
          <w:rPr>
            <w:noProof/>
            <w:webHidden/>
          </w:rPr>
          <w:fldChar w:fldCharType="begin"/>
        </w:r>
        <w:r w:rsidR="004266D3">
          <w:rPr>
            <w:noProof/>
            <w:webHidden/>
          </w:rPr>
          <w:instrText xml:space="preserve"> PAGEREF _Toc55729012 \h </w:instrText>
        </w:r>
        <w:r w:rsidR="00B2470A">
          <w:rPr>
            <w:noProof/>
            <w:webHidden/>
          </w:rPr>
        </w:r>
        <w:r w:rsidR="00B2470A">
          <w:rPr>
            <w:noProof/>
            <w:webHidden/>
          </w:rPr>
          <w:fldChar w:fldCharType="separate"/>
        </w:r>
        <w:r w:rsidR="00476C75">
          <w:rPr>
            <w:noProof/>
            <w:webHidden/>
          </w:rPr>
          <w:t>2</w:t>
        </w:r>
        <w:r w:rsidR="00B2470A">
          <w:rPr>
            <w:noProof/>
            <w:webHidden/>
          </w:rPr>
          <w:fldChar w:fldCharType="end"/>
        </w:r>
      </w:hyperlink>
    </w:p>
    <w:p w:rsidR="004266D3" w:rsidRDefault="00A555F9" w:rsidP="002227BC">
      <w:pPr>
        <w:pStyle w:val="20"/>
        <w:tabs>
          <w:tab w:val="right" w:leader="dot" w:pos="8630"/>
        </w:tabs>
        <w:spacing w:line="312" w:lineRule="auto"/>
        <w:rPr>
          <w:rFonts w:eastAsiaTheme="minorEastAsia" w:hAnsiTheme="minorHAnsi" w:cstheme="minorBidi"/>
          <w:smallCaps w:val="0"/>
          <w:noProof/>
          <w:sz w:val="21"/>
          <w:szCs w:val="22"/>
        </w:rPr>
      </w:pPr>
      <w:hyperlink w:anchor="_Toc55729013" w:history="1">
        <w:r w:rsidR="004266D3" w:rsidRPr="0053000A">
          <w:rPr>
            <w:rStyle w:val="a8"/>
            <w:rFonts w:ascii="华文细黑" w:eastAsia="华文细黑" w:hAnsi="华文细黑"/>
            <w:noProof/>
          </w:rPr>
          <w:t>2.3 地下空间竖向指引</w:t>
        </w:r>
        <w:r w:rsidR="004266D3">
          <w:rPr>
            <w:noProof/>
            <w:webHidden/>
          </w:rPr>
          <w:tab/>
        </w:r>
        <w:r w:rsidR="00B2470A">
          <w:rPr>
            <w:noProof/>
            <w:webHidden/>
          </w:rPr>
          <w:fldChar w:fldCharType="begin"/>
        </w:r>
        <w:r w:rsidR="004266D3">
          <w:rPr>
            <w:noProof/>
            <w:webHidden/>
          </w:rPr>
          <w:instrText xml:space="preserve"> PAGEREF _Toc55729013 \h </w:instrText>
        </w:r>
        <w:r w:rsidR="00B2470A">
          <w:rPr>
            <w:noProof/>
            <w:webHidden/>
          </w:rPr>
        </w:r>
        <w:r w:rsidR="00B2470A">
          <w:rPr>
            <w:noProof/>
            <w:webHidden/>
          </w:rPr>
          <w:fldChar w:fldCharType="separate"/>
        </w:r>
        <w:r w:rsidR="00476C75">
          <w:rPr>
            <w:noProof/>
            <w:webHidden/>
          </w:rPr>
          <w:t>3</w:t>
        </w:r>
        <w:r w:rsidR="00B2470A">
          <w:rPr>
            <w:noProof/>
            <w:webHidden/>
          </w:rPr>
          <w:fldChar w:fldCharType="end"/>
        </w:r>
      </w:hyperlink>
    </w:p>
    <w:p w:rsidR="004266D3" w:rsidRDefault="00A555F9" w:rsidP="002227BC">
      <w:pPr>
        <w:pStyle w:val="20"/>
        <w:tabs>
          <w:tab w:val="right" w:leader="dot" w:pos="8630"/>
        </w:tabs>
        <w:spacing w:line="312" w:lineRule="auto"/>
        <w:rPr>
          <w:rFonts w:eastAsiaTheme="minorEastAsia" w:hAnsiTheme="minorHAnsi" w:cstheme="minorBidi"/>
          <w:smallCaps w:val="0"/>
          <w:noProof/>
          <w:sz w:val="21"/>
          <w:szCs w:val="22"/>
        </w:rPr>
      </w:pPr>
      <w:hyperlink w:anchor="_Toc55729014" w:history="1">
        <w:r w:rsidR="004266D3" w:rsidRPr="0053000A">
          <w:rPr>
            <w:rStyle w:val="a8"/>
            <w:rFonts w:ascii="华文细黑" w:eastAsia="华文细黑" w:hAnsi="华文细黑"/>
            <w:noProof/>
          </w:rPr>
          <w:t>2.4 地下空间分区管控</w:t>
        </w:r>
        <w:r w:rsidR="004266D3">
          <w:rPr>
            <w:noProof/>
            <w:webHidden/>
          </w:rPr>
          <w:tab/>
        </w:r>
        <w:r w:rsidR="00B2470A">
          <w:rPr>
            <w:noProof/>
            <w:webHidden/>
          </w:rPr>
          <w:fldChar w:fldCharType="begin"/>
        </w:r>
        <w:r w:rsidR="004266D3">
          <w:rPr>
            <w:noProof/>
            <w:webHidden/>
          </w:rPr>
          <w:instrText xml:space="preserve"> PAGEREF _Toc55729014 \h </w:instrText>
        </w:r>
        <w:r w:rsidR="00B2470A">
          <w:rPr>
            <w:noProof/>
            <w:webHidden/>
          </w:rPr>
        </w:r>
        <w:r w:rsidR="00B2470A">
          <w:rPr>
            <w:noProof/>
            <w:webHidden/>
          </w:rPr>
          <w:fldChar w:fldCharType="separate"/>
        </w:r>
        <w:r w:rsidR="00476C75">
          <w:rPr>
            <w:noProof/>
            <w:webHidden/>
          </w:rPr>
          <w:t>4</w:t>
        </w:r>
        <w:r w:rsidR="00B2470A">
          <w:rPr>
            <w:noProof/>
            <w:webHidden/>
          </w:rPr>
          <w:fldChar w:fldCharType="end"/>
        </w:r>
      </w:hyperlink>
    </w:p>
    <w:p w:rsidR="004266D3" w:rsidRDefault="00A555F9" w:rsidP="002227BC">
      <w:pPr>
        <w:pStyle w:val="10"/>
        <w:spacing w:line="312" w:lineRule="auto"/>
        <w:rPr>
          <w:rFonts w:asciiTheme="minorHAnsi" w:eastAsiaTheme="minorEastAsia" w:hAnsiTheme="minorHAnsi" w:cstheme="minorBidi"/>
          <w:b w:val="0"/>
          <w:bCs w:val="0"/>
          <w:caps w:val="0"/>
          <w:sz w:val="21"/>
        </w:rPr>
      </w:pPr>
      <w:hyperlink w:anchor="_Toc55729015" w:history="1">
        <w:r w:rsidR="004266D3" w:rsidRPr="0053000A">
          <w:rPr>
            <w:rStyle w:val="a8"/>
          </w:rPr>
          <w:t>3 系统分类引导</w:t>
        </w:r>
        <w:r w:rsidR="004266D3">
          <w:rPr>
            <w:webHidden/>
          </w:rPr>
          <w:tab/>
        </w:r>
        <w:r w:rsidR="00B2470A">
          <w:rPr>
            <w:webHidden/>
          </w:rPr>
          <w:fldChar w:fldCharType="begin"/>
        </w:r>
        <w:r w:rsidR="004266D3">
          <w:rPr>
            <w:webHidden/>
          </w:rPr>
          <w:instrText xml:space="preserve"> PAGEREF _Toc55729015 \h </w:instrText>
        </w:r>
        <w:r w:rsidR="00B2470A">
          <w:rPr>
            <w:webHidden/>
          </w:rPr>
        </w:r>
        <w:r w:rsidR="00B2470A">
          <w:rPr>
            <w:webHidden/>
          </w:rPr>
          <w:fldChar w:fldCharType="separate"/>
        </w:r>
        <w:r w:rsidR="00476C75">
          <w:rPr>
            <w:webHidden/>
          </w:rPr>
          <w:t>5</w:t>
        </w:r>
        <w:r w:rsidR="00B2470A">
          <w:rPr>
            <w:webHidden/>
          </w:rPr>
          <w:fldChar w:fldCharType="end"/>
        </w:r>
      </w:hyperlink>
    </w:p>
    <w:p w:rsidR="004266D3" w:rsidRDefault="00A555F9" w:rsidP="002227BC">
      <w:pPr>
        <w:pStyle w:val="20"/>
        <w:tabs>
          <w:tab w:val="right" w:leader="dot" w:pos="8630"/>
        </w:tabs>
        <w:spacing w:line="312" w:lineRule="auto"/>
        <w:rPr>
          <w:rFonts w:eastAsiaTheme="minorEastAsia" w:hAnsiTheme="minorHAnsi" w:cstheme="minorBidi"/>
          <w:smallCaps w:val="0"/>
          <w:noProof/>
          <w:sz w:val="21"/>
          <w:szCs w:val="22"/>
        </w:rPr>
      </w:pPr>
      <w:hyperlink w:anchor="_Toc55729016" w:history="1">
        <w:r w:rsidR="004266D3" w:rsidRPr="0053000A">
          <w:rPr>
            <w:rStyle w:val="a8"/>
            <w:rFonts w:ascii="华文细黑" w:eastAsia="华文细黑" w:hAnsi="华文细黑"/>
            <w:noProof/>
          </w:rPr>
          <w:t>3.1 轨道交通系统</w:t>
        </w:r>
        <w:r w:rsidR="004266D3">
          <w:rPr>
            <w:noProof/>
            <w:webHidden/>
          </w:rPr>
          <w:tab/>
        </w:r>
        <w:r w:rsidR="00B2470A">
          <w:rPr>
            <w:noProof/>
            <w:webHidden/>
          </w:rPr>
          <w:fldChar w:fldCharType="begin"/>
        </w:r>
        <w:r w:rsidR="004266D3">
          <w:rPr>
            <w:noProof/>
            <w:webHidden/>
          </w:rPr>
          <w:instrText xml:space="preserve"> PAGEREF _Toc55729016 \h </w:instrText>
        </w:r>
        <w:r w:rsidR="00B2470A">
          <w:rPr>
            <w:noProof/>
            <w:webHidden/>
          </w:rPr>
        </w:r>
        <w:r w:rsidR="00B2470A">
          <w:rPr>
            <w:noProof/>
            <w:webHidden/>
          </w:rPr>
          <w:fldChar w:fldCharType="separate"/>
        </w:r>
        <w:r w:rsidR="00476C75">
          <w:rPr>
            <w:noProof/>
            <w:webHidden/>
          </w:rPr>
          <w:t>5</w:t>
        </w:r>
        <w:r w:rsidR="00B2470A">
          <w:rPr>
            <w:noProof/>
            <w:webHidden/>
          </w:rPr>
          <w:fldChar w:fldCharType="end"/>
        </w:r>
      </w:hyperlink>
    </w:p>
    <w:p w:rsidR="004266D3" w:rsidRDefault="00A555F9" w:rsidP="002227BC">
      <w:pPr>
        <w:pStyle w:val="20"/>
        <w:tabs>
          <w:tab w:val="right" w:leader="dot" w:pos="8630"/>
        </w:tabs>
        <w:spacing w:line="312" w:lineRule="auto"/>
        <w:rPr>
          <w:rFonts w:eastAsiaTheme="minorEastAsia" w:hAnsiTheme="minorHAnsi" w:cstheme="minorBidi"/>
          <w:smallCaps w:val="0"/>
          <w:noProof/>
          <w:sz w:val="21"/>
          <w:szCs w:val="22"/>
        </w:rPr>
      </w:pPr>
      <w:hyperlink w:anchor="_Toc55729017" w:history="1">
        <w:r w:rsidR="004266D3" w:rsidRPr="0053000A">
          <w:rPr>
            <w:rStyle w:val="a8"/>
            <w:rFonts w:ascii="华文细黑" w:eastAsia="华文细黑" w:hAnsi="华文细黑"/>
            <w:noProof/>
          </w:rPr>
          <w:t>3.2 地下人行系统</w:t>
        </w:r>
        <w:r w:rsidR="004266D3">
          <w:rPr>
            <w:noProof/>
            <w:webHidden/>
          </w:rPr>
          <w:tab/>
        </w:r>
        <w:r w:rsidR="00B2470A">
          <w:rPr>
            <w:noProof/>
            <w:webHidden/>
          </w:rPr>
          <w:fldChar w:fldCharType="begin"/>
        </w:r>
        <w:r w:rsidR="004266D3">
          <w:rPr>
            <w:noProof/>
            <w:webHidden/>
          </w:rPr>
          <w:instrText xml:space="preserve"> PAGEREF _Toc55729017 \h </w:instrText>
        </w:r>
        <w:r w:rsidR="00B2470A">
          <w:rPr>
            <w:noProof/>
            <w:webHidden/>
          </w:rPr>
        </w:r>
        <w:r w:rsidR="00B2470A">
          <w:rPr>
            <w:noProof/>
            <w:webHidden/>
          </w:rPr>
          <w:fldChar w:fldCharType="separate"/>
        </w:r>
        <w:r w:rsidR="00476C75">
          <w:rPr>
            <w:noProof/>
            <w:webHidden/>
          </w:rPr>
          <w:t>5</w:t>
        </w:r>
        <w:r w:rsidR="00B2470A">
          <w:rPr>
            <w:noProof/>
            <w:webHidden/>
          </w:rPr>
          <w:fldChar w:fldCharType="end"/>
        </w:r>
      </w:hyperlink>
    </w:p>
    <w:p w:rsidR="004266D3" w:rsidRDefault="00A555F9" w:rsidP="002227BC">
      <w:pPr>
        <w:pStyle w:val="20"/>
        <w:tabs>
          <w:tab w:val="right" w:leader="dot" w:pos="8630"/>
        </w:tabs>
        <w:spacing w:line="312" w:lineRule="auto"/>
        <w:rPr>
          <w:rFonts w:eastAsiaTheme="minorEastAsia" w:hAnsiTheme="minorHAnsi" w:cstheme="minorBidi"/>
          <w:smallCaps w:val="0"/>
          <w:noProof/>
          <w:sz w:val="21"/>
          <w:szCs w:val="22"/>
        </w:rPr>
      </w:pPr>
      <w:hyperlink w:anchor="_Toc55729018" w:history="1">
        <w:r w:rsidR="004266D3" w:rsidRPr="0053000A">
          <w:rPr>
            <w:rStyle w:val="a8"/>
            <w:rFonts w:ascii="华文细黑" w:eastAsia="华文细黑" w:hAnsi="华文细黑"/>
            <w:noProof/>
          </w:rPr>
          <w:t>3.3 地下停车系统</w:t>
        </w:r>
        <w:r w:rsidR="004266D3">
          <w:rPr>
            <w:noProof/>
            <w:webHidden/>
          </w:rPr>
          <w:tab/>
        </w:r>
        <w:r w:rsidR="00B2470A">
          <w:rPr>
            <w:noProof/>
            <w:webHidden/>
          </w:rPr>
          <w:fldChar w:fldCharType="begin"/>
        </w:r>
        <w:r w:rsidR="004266D3">
          <w:rPr>
            <w:noProof/>
            <w:webHidden/>
          </w:rPr>
          <w:instrText xml:space="preserve"> PAGEREF _Toc55729018 \h </w:instrText>
        </w:r>
        <w:r w:rsidR="00B2470A">
          <w:rPr>
            <w:noProof/>
            <w:webHidden/>
          </w:rPr>
        </w:r>
        <w:r w:rsidR="00B2470A">
          <w:rPr>
            <w:noProof/>
            <w:webHidden/>
          </w:rPr>
          <w:fldChar w:fldCharType="separate"/>
        </w:r>
        <w:r w:rsidR="00476C75">
          <w:rPr>
            <w:noProof/>
            <w:webHidden/>
          </w:rPr>
          <w:t>6</w:t>
        </w:r>
        <w:r w:rsidR="00B2470A">
          <w:rPr>
            <w:noProof/>
            <w:webHidden/>
          </w:rPr>
          <w:fldChar w:fldCharType="end"/>
        </w:r>
      </w:hyperlink>
    </w:p>
    <w:p w:rsidR="004266D3" w:rsidRDefault="00A555F9" w:rsidP="002227BC">
      <w:pPr>
        <w:pStyle w:val="20"/>
        <w:tabs>
          <w:tab w:val="right" w:leader="dot" w:pos="8630"/>
        </w:tabs>
        <w:spacing w:line="312" w:lineRule="auto"/>
        <w:rPr>
          <w:rFonts w:eastAsiaTheme="minorEastAsia" w:hAnsiTheme="minorHAnsi" w:cstheme="minorBidi"/>
          <w:smallCaps w:val="0"/>
          <w:noProof/>
          <w:sz w:val="21"/>
          <w:szCs w:val="22"/>
        </w:rPr>
      </w:pPr>
      <w:hyperlink w:anchor="_Toc55729019" w:history="1">
        <w:r w:rsidR="004266D3" w:rsidRPr="0053000A">
          <w:rPr>
            <w:rStyle w:val="a8"/>
            <w:rFonts w:ascii="华文细黑" w:eastAsia="华文细黑" w:hAnsi="华文细黑"/>
            <w:noProof/>
          </w:rPr>
          <w:t>3.4 地下公共空间</w:t>
        </w:r>
        <w:r w:rsidR="004266D3">
          <w:rPr>
            <w:noProof/>
            <w:webHidden/>
          </w:rPr>
          <w:tab/>
        </w:r>
        <w:r w:rsidR="00B2470A">
          <w:rPr>
            <w:noProof/>
            <w:webHidden/>
          </w:rPr>
          <w:fldChar w:fldCharType="begin"/>
        </w:r>
        <w:r w:rsidR="004266D3">
          <w:rPr>
            <w:noProof/>
            <w:webHidden/>
          </w:rPr>
          <w:instrText xml:space="preserve"> PAGEREF _Toc55729019 \h </w:instrText>
        </w:r>
        <w:r w:rsidR="00B2470A">
          <w:rPr>
            <w:noProof/>
            <w:webHidden/>
          </w:rPr>
        </w:r>
        <w:r w:rsidR="00B2470A">
          <w:rPr>
            <w:noProof/>
            <w:webHidden/>
          </w:rPr>
          <w:fldChar w:fldCharType="separate"/>
        </w:r>
        <w:r w:rsidR="00476C75">
          <w:rPr>
            <w:noProof/>
            <w:webHidden/>
          </w:rPr>
          <w:t>6</w:t>
        </w:r>
        <w:r w:rsidR="00B2470A">
          <w:rPr>
            <w:noProof/>
            <w:webHidden/>
          </w:rPr>
          <w:fldChar w:fldCharType="end"/>
        </w:r>
      </w:hyperlink>
    </w:p>
    <w:p w:rsidR="004266D3" w:rsidRDefault="00A555F9" w:rsidP="002227BC">
      <w:pPr>
        <w:pStyle w:val="20"/>
        <w:tabs>
          <w:tab w:val="right" w:leader="dot" w:pos="8630"/>
        </w:tabs>
        <w:spacing w:line="312" w:lineRule="auto"/>
        <w:rPr>
          <w:rFonts w:eastAsiaTheme="minorEastAsia" w:hAnsiTheme="minorHAnsi" w:cstheme="minorBidi"/>
          <w:smallCaps w:val="0"/>
          <w:noProof/>
          <w:sz w:val="21"/>
          <w:szCs w:val="22"/>
        </w:rPr>
      </w:pPr>
      <w:hyperlink w:anchor="_Toc55729020" w:history="1">
        <w:r w:rsidR="004266D3" w:rsidRPr="0053000A">
          <w:rPr>
            <w:rStyle w:val="a8"/>
            <w:rFonts w:ascii="华文细黑" w:eastAsia="华文细黑" w:hAnsi="华文细黑"/>
            <w:noProof/>
          </w:rPr>
          <w:t>3.5 综合管廊系统</w:t>
        </w:r>
        <w:r w:rsidR="004266D3">
          <w:rPr>
            <w:noProof/>
            <w:webHidden/>
          </w:rPr>
          <w:tab/>
        </w:r>
        <w:r w:rsidR="00B2470A">
          <w:rPr>
            <w:noProof/>
            <w:webHidden/>
          </w:rPr>
          <w:fldChar w:fldCharType="begin"/>
        </w:r>
        <w:r w:rsidR="004266D3">
          <w:rPr>
            <w:noProof/>
            <w:webHidden/>
          </w:rPr>
          <w:instrText xml:space="preserve"> PAGEREF _Toc55729020 \h </w:instrText>
        </w:r>
        <w:r w:rsidR="00B2470A">
          <w:rPr>
            <w:noProof/>
            <w:webHidden/>
          </w:rPr>
        </w:r>
        <w:r w:rsidR="00B2470A">
          <w:rPr>
            <w:noProof/>
            <w:webHidden/>
          </w:rPr>
          <w:fldChar w:fldCharType="separate"/>
        </w:r>
        <w:r w:rsidR="00476C75">
          <w:rPr>
            <w:noProof/>
            <w:webHidden/>
          </w:rPr>
          <w:t>7</w:t>
        </w:r>
        <w:r w:rsidR="00B2470A">
          <w:rPr>
            <w:noProof/>
            <w:webHidden/>
          </w:rPr>
          <w:fldChar w:fldCharType="end"/>
        </w:r>
      </w:hyperlink>
    </w:p>
    <w:p w:rsidR="004266D3" w:rsidRDefault="00A555F9" w:rsidP="002227BC">
      <w:pPr>
        <w:pStyle w:val="20"/>
        <w:tabs>
          <w:tab w:val="right" w:leader="dot" w:pos="8630"/>
        </w:tabs>
        <w:spacing w:line="312" w:lineRule="auto"/>
        <w:rPr>
          <w:rFonts w:eastAsiaTheme="minorEastAsia" w:hAnsiTheme="minorHAnsi" w:cstheme="minorBidi"/>
          <w:smallCaps w:val="0"/>
          <w:noProof/>
          <w:sz w:val="21"/>
          <w:szCs w:val="22"/>
        </w:rPr>
      </w:pPr>
      <w:hyperlink w:anchor="_Toc55729021" w:history="1">
        <w:r w:rsidR="004266D3" w:rsidRPr="0053000A">
          <w:rPr>
            <w:rStyle w:val="a8"/>
            <w:rFonts w:ascii="华文细黑" w:eastAsia="华文细黑" w:hAnsi="华文细黑"/>
            <w:noProof/>
          </w:rPr>
          <w:t>3.6 人防工程系统</w:t>
        </w:r>
        <w:r w:rsidR="004266D3">
          <w:rPr>
            <w:noProof/>
            <w:webHidden/>
          </w:rPr>
          <w:tab/>
        </w:r>
        <w:r w:rsidR="00B2470A">
          <w:rPr>
            <w:noProof/>
            <w:webHidden/>
          </w:rPr>
          <w:fldChar w:fldCharType="begin"/>
        </w:r>
        <w:r w:rsidR="004266D3">
          <w:rPr>
            <w:noProof/>
            <w:webHidden/>
          </w:rPr>
          <w:instrText xml:space="preserve"> PAGEREF _Toc55729021 \h </w:instrText>
        </w:r>
        <w:r w:rsidR="00B2470A">
          <w:rPr>
            <w:noProof/>
            <w:webHidden/>
          </w:rPr>
        </w:r>
        <w:r w:rsidR="00B2470A">
          <w:rPr>
            <w:noProof/>
            <w:webHidden/>
          </w:rPr>
          <w:fldChar w:fldCharType="separate"/>
        </w:r>
        <w:r w:rsidR="00476C75">
          <w:rPr>
            <w:noProof/>
            <w:webHidden/>
          </w:rPr>
          <w:t>8</w:t>
        </w:r>
        <w:r w:rsidR="00B2470A">
          <w:rPr>
            <w:noProof/>
            <w:webHidden/>
          </w:rPr>
          <w:fldChar w:fldCharType="end"/>
        </w:r>
      </w:hyperlink>
    </w:p>
    <w:p w:rsidR="004266D3" w:rsidRDefault="00A555F9" w:rsidP="002227BC">
      <w:pPr>
        <w:pStyle w:val="20"/>
        <w:tabs>
          <w:tab w:val="right" w:leader="dot" w:pos="8630"/>
        </w:tabs>
        <w:spacing w:line="312" w:lineRule="auto"/>
        <w:rPr>
          <w:rFonts w:eastAsiaTheme="minorEastAsia" w:hAnsiTheme="minorHAnsi" w:cstheme="minorBidi"/>
          <w:smallCaps w:val="0"/>
          <w:noProof/>
          <w:sz w:val="21"/>
          <w:szCs w:val="22"/>
        </w:rPr>
      </w:pPr>
      <w:hyperlink w:anchor="_Toc55729022" w:history="1">
        <w:r w:rsidR="004266D3" w:rsidRPr="0053000A">
          <w:rPr>
            <w:rStyle w:val="a8"/>
            <w:rFonts w:ascii="华文细黑" w:eastAsia="华文细黑" w:hAnsi="华文细黑"/>
            <w:noProof/>
          </w:rPr>
          <w:t>3.7 地下能源系统</w:t>
        </w:r>
        <w:r w:rsidR="004266D3">
          <w:rPr>
            <w:noProof/>
            <w:webHidden/>
          </w:rPr>
          <w:tab/>
        </w:r>
        <w:r w:rsidR="00B2470A">
          <w:rPr>
            <w:noProof/>
            <w:webHidden/>
          </w:rPr>
          <w:fldChar w:fldCharType="begin"/>
        </w:r>
        <w:r w:rsidR="004266D3">
          <w:rPr>
            <w:noProof/>
            <w:webHidden/>
          </w:rPr>
          <w:instrText xml:space="preserve"> PAGEREF _Toc55729022 \h </w:instrText>
        </w:r>
        <w:r w:rsidR="00B2470A">
          <w:rPr>
            <w:noProof/>
            <w:webHidden/>
          </w:rPr>
        </w:r>
        <w:r w:rsidR="00B2470A">
          <w:rPr>
            <w:noProof/>
            <w:webHidden/>
          </w:rPr>
          <w:fldChar w:fldCharType="separate"/>
        </w:r>
        <w:r w:rsidR="00476C75">
          <w:rPr>
            <w:noProof/>
            <w:webHidden/>
          </w:rPr>
          <w:t>8</w:t>
        </w:r>
        <w:r w:rsidR="00B2470A">
          <w:rPr>
            <w:noProof/>
            <w:webHidden/>
          </w:rPr>
          <w:fldChar w:fldCharType="end"/>
        </w:r>
      </w:hyperlink>
    </w:p>
    <w:p w:rsidR="004266D3" w:rsidRDefault="00A555F9" w:rsidP="002227BC">
      <w:pPr>
        <w:pStyle w:val="20"/>
        <w:tabs>
          <w:tab w:val="right" w:leader="dot" w:pos="8630"/>
        </w:tabs>
        <w:spacing w:line="312" w:lineRule="auto"/>
        <w:rPr>
          <w:rFonts w:eastAsiaTheme="minorEastAsia" w:hAnsiTheme="minorHAnsi" w:cstheme="minorBidi"/>
          <w:smallCaps w:val="0"/>
          <w:noProof/>
          <w:sz w:val="21"/>
          <w:szCs w:val="22"/>
        </w:rPr>
      </w:pPr>
      <w:hyperlink w:anchor="_Toc55729023" w:history="1">
        <w:r w:rsidR="004266D3" w:rsidRPr="0053000A">
          <w:rPr>
            <w:rStyle w:val="a8"/>
            <w:rFonts w:ascii="华文细黑" w:eastAsia="华文细黑" w:hAnsi="华文细黑"/>
            <w:noProof/>
          </w:rPr>
          <w:t>3.8 海绵城市系统</w:t>
        </w:r>
        <w:r w:rsidR="004266D3">
          <w:rPr>
            <w:noProof/>
            <w:webHidden/>
          </w:rPr>
          <w:tab/>
        </w:r>
        <w:r w:rsidR="00B2470A">
          <w:rPr>
            <w:noProof/>
            <w:webHidden/>
          </w:rPr>
          <w:fldChar w:fldCharType="begin"/>
        </w:r>
        <w:r w:rsidR="004266D3">
          <w:rPr>
            <w:noProof/>
            <w:webHidden/>
          </w:rPr>
          <w:instrText xml:space="preserve"> PAGEREF _Toc55729023 \h </w:instrText>
        </w:r>
        <w:r w:rsidR="00B2470A">
          <w:rPr>
            <w:noProof/>
            <w:webHidden/>
          </w:rPr>
        </w:r>
        <w:r w:rsidR="00B2470A">
          <w:rPr>
            <w:noProof/>
            <w:webHidden/>
          </w:rPr>
          <w:fldChar w:fldCharType="separate"/>
        </w:r>
        <w:r w:rsidR="00476C75">
          <w:rPr>
            <w:noProof/>
            <w:webHidden/>
          </w:rPr>
          <w:t>8</w:t>
        </w:r>
        <w:r w:rsidR="00B2470A">
          <w:rPr>
            <w:noProof/>
            <w:webHidden/>
          </w:rPr>
          <w:fldChar w:fldCharType="end"/>
        </w:r>
      </w:hyperlink>
    </w:p>
    <w:p w:rsidR="004266D3" w:rsidRDefault="00A555F9" w:rsidP="002227BC">
      <w:pPr>
        <w:pStyle w:val="20"/>
        <w:tabs>
          <w:tab w:val="right" w:leader="dot" w:pos="8630"/>
        </w:tabs>
        <w:spacing w:line="312" w:lineRule="auto"/>
        <w:rPr>
          <w:rFonts w:eastAsiaTheme="minorEastAsia" w:hAnsiTheme="minorHAnsi" w:cstheme="minorBidi"/>
          <w:smallCaps w:val="0"/>
          <w:noProof/>
          <w:sz w:val="21"/>
          <w:szCs w:val="22"/>
        </w:rPr>
      </w:pPr>
      <w:hyperlink w:anchor="_Toc55729024" w:history="1">
        <w:r w:rsidR="004266D3" w:rsidRPr="0053000A">
          <w:rPr>
            <w:rStyle w:val="a8"/>
            <w:rFonts w:ascii="华文细黑" w:eastAsia="华文细黑" w:hAnsi="华文细黑"/>
            <w:noProof/>
          </w:rPr>
          <w:t>3.9 地下垃圾系统</w:t>
        </w:r>
        <w:r w:rsidR="004266D3">
          <w:rPr>
            <w:noProof/>
            <w:webHidden/>
          </w:rPr>
          <w:tab/>
        </w:r>
        <w:r w:rsidR="00B2470A">
          <w:rPr>
            <w:noProof/>
            <w:webHidden/>
          </w:rPr>
          <w:fldChar w:fldCharType="begin"/>
        </w:r>
        <w:r w:rsidR="004266D3">
          <w:rPr>
            <w:noProof/>
            <w:webHidden/>
          </w:rPr>
          <w:instrText xml:space="preserve"> PAGEREF _Toc55729024 \h </w:instrText>
        </w:r>
        <w:r w:rsidR="00B2470A">
          <w:rPr>
            <w:noProof/>
            <w:webHidden/>
          </w:rPr>
        </w:r>
        <w:r w:rsidR="00B2470A">
          <w:rPr>
            <w:noProof/>
            <w:webHidden/>
          </w:rPr>
          <w:fldChar w:fldCharType="separate"/>
        </w:r>
        <w:r w:rsidR="00476C75">
          <w:rPr>
            <w:noProof/>
            <w:webHidden/>
          </w:rPr>
          <w:t>9</w:t>
        </w:r>
        <w:r w:rsidR="00B2470A">
          <w:rPr>
            <w:noProof/>
            <w:webHidden/>
          </w:rPr>
          <w:fldChar w:fldCharType="end"/>
        </w:r>
      </w:hyperlink>
    </w:p>
    <w:p w:rsidR="004266D3" w:rsidRDefault="00A555F9" w:rsidP="002227BC">
      <w:pPr>
        <w:pStyle w:val="20"/>
        <w:tabs>
          <w:tab w:val="right" w:leader="dot" w:pos="8630"/>
        </w:tabs>
        <w:spacing w:line="312" w:lineRule="auto"/>
        <w:rPr>
          <w:rFonts w:eastAsiaTheme="minorEastAsia" w:hAnsiTheme="minorHAnsi" w:cstheme="minorBidi"/>
          <w:smallCaps w:val="0"/>
          <w:noProof/>
          <w:sz w:val="21"/>
          <w:szCs w:val="22"/>
        </w:rPr>
      </w:pPr>
      <w:hyperlink w:anchor="_Toc55729025" w:history="1">
        <w:r w:rsidR="004266D3" w:rsidRPr="0053000A">
          <w:rPr>
            <w:rStyle w:val="a8"/>
            <w:rFonts w:ascii="华文细黑" w:eastAsia="华文细黑" w:hAnsi="华文细黑"/>
            <w:noProof/>
          </w:rPr>
          <w:t>3.10 地下物流系统</w:t>
        </w:r>
        <w:r w:rsidR="004266D3">
          <w:rPr>
            <w:noProof/>
            <w:webHidden/>
          </w:rPr>
          <w:tab/>
        </w:r>
        <w:r w:rsidR="00B2470A">
          <w:rPr>
            <w:noProof/>
            <w:webHidden/>
          </w:rPr>
          <w:fldChar w:fldCharType="begin"/>
        </w:r>
        <w:r w:rsidR="004266D3">
          <w:rPr>
            <w:noProof/>
            <w:webHidden/>
          </w:rPr>
          <w:instrText xml:space="preserve"> PAGEREF _Toc55729025 \h </w:instrText>
        </w:r>
        <w:r w:rsidR="00B2470A">
          <w:rPr>
            <w:noProof/>
            <w:webHidden/>
          </w:rPr>
        </w:r>
        <w:r w:rsidR="00B2470A">
          <w:rPr>
            <w:noProof/>
            <w:webHidden/>
          </w:rPr>
          <w:fldChar w:fldCharType="separate"/>
        </w:r>
        <w:r w:rsidR="00476C75">
          <w:rPr>
            <w:noProof/>
            <w:webHidden/>
          </w:rPr>
          <w:t>9</w:t>
        </w:r>
        <w:r w:rsidR="00B2470A">
          <w:rPr>
            <w:noProof/>
            <w:webHidden/>
          </w:rPr>
          <w:fldChar w:fldCharType="end"/>
        </w:r>
      </w:hyperlink>
    </w:p>
    <w:p w:rsidR="004266D3" w:rsidRDefault="00A555F9" w:rsidP="002227BC">
      <w:pPr>
        <w:pStyle w:val="10"/>
        <w:spacing w:line="312" w:lineRule="auto"/>
        <w:rPr>
          <w:rFonts w:asciiTheme="minorHAnsi" w:eastAsiaTheme="minorEastAsia" w:hAnsiTheme="minorHAnsi" w:cstheme="minorBidi"/>
          <w:b w:val="0"/>
          <w:bCs w:val="0"/>
          <w:caps w:val="0"/>
          <w:sz w:val="21"/>
        </w:rPr>
      </w:pPr>
      <w:hyperlink w:anchor="_Toc55729026" w:history="1">
        <w:r w:rsidR="004266D3" w:rsidRPr="0053000A">
          <w:rPr>
            <w:rStyle w:val="a8"/>
          </w:rPr>
          <w:t>4 规划管控实施</w:t>
        </w:r>
        <w:r w:rsidR="004266D3">
          <w:rPr>
            <w:webHidden/>
          </w:rPr>
          <w:tab/>
        </w:r>
        <w:r w:rsidR="00B2470A">
          <w:rPr>
            <w:webHidden/>
          </w:rPr>
          <w:fldChar w:fldCharType="begin"/>
        </w:r>
        <w:r w:rsidR="004266D3">
          <w:rPr>
            <w:webHidden/>
          </w:rPr>
          <w:instrText xml:space="preserve"> PAGEREF _Toc55729026 \h </w:instrText>
        </w:r>
        <w:r w:rsidR="00B2470A">
          <w:rPr>
            <w:webHidden/>
          </w:rPr>
        </w:r>
        <w:r w:rsidR="00B2470A">
          <w:rPr>
            <w:webHidden/>
          </w:rPr>
          <w:fldChar w:fldCharType="separate"/>
        </w:r>
        <w:r w:rsidR="00476C75">
          <w:rPr>
            <w:webHidden/>
          </w:rPr>
          <w:t>9</w:t>
        </w:r>
        <w:r w:rsidR="00B2470A">
          <w:rPr>
            <w:webHidden/>
          </w:rPr>
          <w:fldChar w:fldCharType="end"/>
        </w:r>
      </w:hyperlink>
    </w:p>
    <w:p w:rsidR="004266D3" w:rsidRDefault="00A555F9" w:rsidP="002227BC">
      <w:pPr>
        <w:pStyle w:val="20"/>
        <w:tabs>
          <w:tab w:val="right" w:leader="dot" w:pos="8630"/>
        </w:tabs>
        <w:spacing w:line="312" w:lineRule="auto"/>
        <w:rPr>
          <w:rFonts w:eastAsiaTheme="minorEastAsia" w:hAnsiTheme="minorHAnsi" w:cstheme="minorBidi"/>
          <w:smallCaps w:val="0"/>
          <w:noProof/>
          <w:sz w:val="21"/>
          <w:szCs w:val="22"/>
        </w:rPr>
      </w:pPr>
      <w:hyperlink w:anchor="_Toc55729027" w:history="1">
        <w:r w:rsidR="004266D3" w:rsidRPr="0053000A">
          <w:rPr>
            <w:rStyle w:val="a8"/>
            <w:rFonts w:ascii="华文细黑" w:eastAsia="华文细黑" w:hAnsi="华文细黑"/>
            <w:noProof/>
          </w:rPr>
          <w:t>4.1 规划管控要素及指引</w:t>
        </w:r>
        <w:r w:rsidR="004266D3">
          <w:rPr>
            <w:noProof/>
            <w:webHidden/>
          </w:rPr>
          <w:tab/>
        </w:r>
        <w:r w:rsidR="00B2470A">
          <w:rPr>
            <w:noProof/>
            <w:webHidden/>
          </w:rPr>
          <w:fldChar w:fldCharType="begin"/>
        </w:r>
        <w:r w:rsidR="004266D3">
          <w:rPr>
            <w:noProof/>
            <w:webHidden/>
          </w:rPr>
          <w:instrText xml:space="preserve"> PAGEREF _Toc55729027 \h </w:instrText>
        </w:r>
        <w:r w:rsidR="00B2470A">
          <w:rPr>
            <w:noProof/>
            <w:webHidden/>
          </w:rPr>
        </w:r>
        <w:r w:rsidR="00B2470A">
          <w:rPr>
            <w:noProof/>
            <w:webHidden/>
          </w:rPr>
          <w:fldChar w:fldCharType="separate"/>
        </w:r>
        <w:r w:rsidR="00476C75">
          <w:rPr>
            <w:noProof/>
            <w:webHidden/>
          </w:rPr>
          <w:t>9</w:t>
        </w:r>
        <w:r w:rsidR="00B2470A">
          <w:rPr>
            <w:noProof/>
            <w:webHidden/>
          </w:rPr>
          <w:fldChar w:fldCharType="end"/>
        </w:r>
      </w:hyperlink>
    </w:p>
    <w:p w:rsidR="004266D3" w:rsidRDefault="00A555F9" w:rsidP="002227BC">
      <w:pPr>
        <w:pStyle w:val="20"/>
        <w:tabs>
          <w:tab w:val="right" w:leader="dot" w:pos="8630"/>
        </w:tabs>
        <w:spacing w:line="312" w:lineRule="auto"/>
        <w:rPr>
          <w:rFonts w:eastAsiaTheme="minorEastAsia" w:hAnsiTheme="minorHAnsi" w:cstheme="minorBidi"/>
          <w:smallCaps w:val="0"/>
          <w:noProof/>
          <w:sz w:val="21"/>
          <w:szCs w:val="22"/>
        </w:rPr>
      </w:pPr>
      <w:hyperlink w:anchor="_Toc55729028" w:history="1">
        <w:r w:rsidR="004266D3" w:rsidRPr="0053000A">
          <w:rPr>
            <w:rStyle w:val="a8"/>
            <w:rFonts w:ascii="华文细黑" w:eastAsia="华文细黑" w:hAnsi="华文细黑"/>
            <w:noProof/>
          </w:rPr>
          <w:t>4.2 地下空间整体开发指引</w:t>
        </w:r>
        <w:r w:rsidR="004266D3">
          <w:rPr>
            <w:noProof/>
            <w:webHidden/>
          </w:rPr>
          <w:tab/>
        </w:r>
        <w:r w:rsidR="00B2470A">
          <w:rPr>
            <w:noProof/>
            <w:webHidden/>
          </w:rPr>
          <w:fldChar w:fldCharType="begin"/>
        </w:r>
        <w:r w:rsidR="004266D3">
          <w:rPr>
            <w:noProof/>
            <w:webHidden/>
          </w:rPr>
          <w:instrText xml:space="preserve"> PAGEREF _Toc55729028 \h </w:instrText>
        </w:r>
        <w:r w:rsidR="00B2470A">
          <w:rPr>
            <w:noProof/>
            <w:webHidden/>
          </w:rPr>
        </w:r>
        <w:r w:rsidR="00B2470A">
          <w:rPr>
            <w:noProof/>
            <w:webHidden/>
          </w:rPr>
          <w:fldChar w:fldCharType="separate"/>
        </w:r>
        <w:r w:rsidR="00476C75">
          <w:rPr>
            <w:noProof/>
            <w:webHidden/>
          </w:rPr>
          <w:t>11</w:t>
        </w:r>
        <w:r w:rsidR="00B2470A">
          <w:rPr>
            <w:noProof/>
            <w:webHidden/>
          </w:rPr>
          <w:fldChar w:fldCharType="end"/>
        </w:r>
      </w:hyperlink>
    </w:p>
    <w:p w:rsidR="004266D3" w:rsidRDefault="00A555F9" w:rsidP="002227BC">
      <w:pPr>
        <w:pStyle w:val="20"/>
        <w:tabs>
          <w:tab w:val="right" w:leader="dot" w:pos="8630"/>
        </w:tabs>
        <w:spacing w:line="312" w:lineRule="auto"/>
        <w:rPr>
          <w:rFonts w:eastAsiaTheme="minorEastAsia" w:hAnsiTheme="minorHAnsi" w:cstheme="minorBidi"/>
          <w:smallCaps w:val="0"/>
          <w:noProof/>
          <w:sz w:val="21"/>
          <w:szCs w:val="22"/>
        </w:rPr>
      </w:pPr>
      <w:hyperlink w:anchor="_Toc55729029" w:history="1">
        <w:r w:rsidR="004266D3" w:rsidRPr="0053000A">
          <w:rPr>
            <w:rStyle w:val="a8"/>
            <w:rFonts w:ascii="华文细黑" w:eastAsia="华文细黑" w:hAnsi="华文细黑"/>
            <w:noProof/>
          </w:rPr>
          <w:t>4.3 地下空间规划管理保障</w:t>
        </w:r>
        <w:r w:rsidR="004266D3">
          <w:rPr>
            <w:noProof/>
            <w:webHidden/>
          </w:rPr>
          <w:tab/>
        </w:r>
        <w:r w:rsidR="00B2470A">
          <w:rPr>
            <w:noProof/>
            <w:webHidden/>
          </w:rPr>
          <w:fldChar w:fldCharType="begin"/>
        </w:r>
        <w:r w:rsidR="004266D3">
          <w:rPr>
            <w:noProof/>
            <w:webHidden/>
          </w:rPr>
          <w:instrText xml:space="preserve"> PAGEREF _Toc55729029 \h </w:instrText>
        </w:r>
        <w:r w:rsidR="00B2470A">
          <w:rPr>
            <w:noProof/>
            <w:webHidden/>
          </w:rPr>
        </w:r>
        <w:r w:rsidR="00B2470A">
          <w:rPr>
            <w:noProof/>
            <w:webHidden/>
          </w:rPr>
          <w:fldChar w:fldCharType="separate"/>
        </w:r>
        <w:r w:rsidR="00476C75">
          <w:rPr>
            <w:noProof/>
            <w:webHidden/>
          </w:rPr>
          <w:t>11</w:t>
        </w:r>
        <w:r w:rsidR="00B2470A">
          <w:rPr>
            <w:noProof/>
            <w:webHidden/>
          </w:rPr>
          <w:fldChar w:fldCharType="end"/>
        </w:r>
      </w:hyperlink>
    </w:p>
    <w:p w:rsidR="00A07F2D" w:rsidRDefault="00B2470A" w:rsidP="002227BC">
      <w:pPr>
        <w:pStyle w:val="20"/>
        <w:tabs>
          <w:tab w:val="right" w:leader="dot" w:pos="8630"/>
        </w:tabs>
        <w:spacing w:line="312" w:lineRule="auto"/>
        <w:rPr>
          <w:sz w:val="32"/>
          <w:szCs w:val="32"/>
        </w:rPr>
      </w:pPr>
      <w:r w:rsidRPr="00A66B8F">
        <w:rPr>
          <w:rFonts w:ascii="华文细黑" w:eastAsia="华文细黑" w:hAnsi="华文细黑"/>
          <w:sz w:val="28"/>
          <w:szCs w:val="22"/>
        </w:rPr>
        <w:fldChar w:fldCharType="end"/>
      </w:r>
      <w:r w:rsidR="00B04B78" w:rsidRPr="00B04B78">
        <w:rPr>
          <w:rStyle w:val="a8"/>
          <w:color w:val="auto"/>
          <w:u w:val="none"/>
        </w:rPr>
        <w:t>附图</w:t>
      </w:r>
      <w:r w:rsidR="00B04B78" w:rsidRPr="00B04B78">
        <w:rPr>
          <w:rStyle w:val="a8"/>
          <w:rFonts w:hint="eastAsia"/>
          <w:color w:val="auto"/>
          <w:u w:val="none"/>
        </w:rPr>
        <w:t>和</w:t>
      </w:r>
      <w:r w:rsidR="00B04B78" w:rsidRPr="00B04B78">
        <w:rPr>
          <w:rStyle w:val="a8"/>
          <w:color w:val="auto"/>
          <w:u w:val="none"/>
        </w:rPr>
        <w:t>附表</w:t>
      </w:r>
      <w:r w:rsidR="00A07F2D">
        <w:rPr>
          <w:sz w:val="32"/>
          <w:szCs w:val="32"/>
        </w:rPr>
        <w:br w:type="page"/>
      </w:r>
    </w:p>
    <w:p w:rsidR="00075F07" w:rsidRDefault="00075F07" w:rsidP="00C2225B">
      <w:pPr>
        <w:pStyle w:val="1"/>
        <w:rPr>
          <w:rFonts w:ascii="华文细黑" w:eastAsia="华文细黑" w:hAnsi="华文细黑"/>
        </w:rPr>
        <w:sectPr w:rsidR="00075F07" w:rsidSect="00075F07">
          <w:pgSz w:w="12240" w:h="15840"/>
          <w:pgMar w:top="1440" w:right="1800" w:bottom="1440" w:left="1800" w:header="720" w:footer="720" w:gutter="0"/>
          <w:cols w:space="720"/>
          <w:titlePg/>
          <w:docGrid w:linePitch="286"/>
        </w:sectPr>
      </w:pPr>
    </w:p>
    <w:p w:rsidR="00173EE3" w:rsidRPr="00FB510D" w:rsidRDefault="00E238C0" w:rsidP="00C2225B">
      <w:pPr>
        <w:pStyle w:val="1"/>
        <w:rPr>
          <w:rFonts w:ascii="华文细黑" w:eastAsia="华文细黑" w:hAnsi="华文细黑"/>
        </w:rPr>
      </w:pPr>
      <w:bookmarkStart w:id="0" w:name="_Toc55729007"/>
      <w:r w:rsidRPr="00FB510D">
        <w:rPr>
          <w:rFonts w:ascii="华文细黑" w:eastAsia="华文细黑" w:hAnsi="华文细黑" w:hint="eastAsia"/>
        </w:rPr>
        <w:t>1总则</w:t>
      </w:r>
      <w:bookmarkEnd w:id="0"/>
    </w:p>
    <w:p w:rsidR="008503B5" w:rsidRPr="00FB510D" w:rsidRDefault="008503B5" w:rsidP="00C2225B">
      <w:pPr>
        <w:pStyle w:val="2"/>
        <w:rPr>
          <w:rFonts w:ascii="华文细黑" w:eastAsia="华文细黑" w:hAnsi="华文细黑"/>
        </w:rPr>
      </w:pPr>
      <w:bookmarkStart w:id="1" w:name="_Toc55729008"/>
      <w:r w:rsidRPr="00FB510D">
        <w:rPr>
          <w:rFonts w:ascii="华文细黑" w:eastAsia="华文细黑" w:hAnsi="华文细黑" w:hint="eastAsia"/>
        </w:rPr>
        <w:t>1</w:t>
      </w:r>
      <w:r w:rsidRPr="00FB510D">
        <w:rPr>
          <w:rFonts w:ascii="华文细黑" w:eastAsia="华文细黑" w:hAnsi="华文细黑"/>
        </w:rPr>
        <w:t>.1</w:t>
      </w:r>
      <w:r w:rsidRPr="00FB510D">
        <w:rPr>
          <w:rFonts w:ascii="华文细黑" w:eastAsia="华文细黑" w:hAnsi="华文细黑" w:hint="eastAsia"/>
        </w:rPr>
        <w:t>基本要求</w:t>
      </w:r>
      <w:bookmarkEnd w:id="1"/>
    </w:p>
    <w:p w:rsidR="00805F3F" w:rsidRPr="00FB510D" w:rsidRDefault="00805F3F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（1）为了科学、合理地利用地下空间资源，统筹和规范地下空间规划设计与管理工作，协调相关开发建设活动，制定本导则。</w:t>
      </w:r>
    </w:p>
    <w:p w:rsidR="00805F3F" w:rsidRPr="00FB510D" w:rsidRDefault="00805F3F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（2）落实“五个重要”发展目标，立足区域特色，持续打造体现人民城市建设理念的城市样板间，坚持立体城市、体现</w:t>
      </w:r>
      <w:proofErr w:type="gramStart"/>
      <w:r w:rsidRPr="00FB510D">
        <w:rPr>
          <w:rFonts w:ascii="华文细黑" w:eastAsia="华文细黑" w:hAnsi="华文细黑" w:hint="eastAsia"/>
          <w:sz w:val="24"/>
          <w:szCs w:val="24"/>
        </w:rPr>
        <w:t>产城融合</w:t>
      </w:r>
      <w:proofErr w:type="gramEnd"/>
      <w:r w:rsidRPr="00FB510D">
        <w:rPr>
          <w:rFonts w:ascii="华文细黑" w:eastAsia="华文细黑" w:hAnsi="华文细黑" w:hint="eastAsia"/>
          <w:sz w:val="24"/>
          <w:szCs w:val="24"/>
        </w:rPr>
        <w:t>、突出功能品质、强化智慧引领，促进地下空间高标准规划建设管理。</w:t>
      </w:r>
    </w:p>
    <w:p w:rsidR="00805F3F" w:rsidRPr="00FB510D" w:rsidRDefault="00805F3F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（3）临港新片区地下空间规划设计与管理工作，应坚持以人为本、综合高效、运营安全、生态友好的原则，以有利于节约土地、提高土地利用效率、改善人居环境、提高城市抵御灾害的能力。</w:t>
      </w:r>
    </w:p>
    <w:p w:rsidR="00805F3F" w:rsidRPr="00FB510D" w:rsidRDefault="00805F3F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（4）本导则是中观层面的规划指引，突出特色管控引导，统筹实现多</w:t>
      </w:r>
      <w:proofErr w:type="gramStart"/>
      <w:r w:rsidRPr="00FB510D">
        <w:rPr>
          <w:rFonts w:ascii="华文细黑" w:eastAsia="华文细黑" w:hAnsi="华文细黑" w:hint="eastAsia"/>
          <w:sz w:val="24"/>
          <w:szCs w:val="24"/>
        </w:rPr>
        <w:t>规</w:t>
      </w:r>
      <w:proofErr w:type="gramEnd"/>
      <w:r w:rsidRPr="00FB510D">
        <w:rPr>
          <w:rFonts w:ascii="华文细黑" w:eastAsia="华文细黑" w:hAnsi="华文细黑" w:hint="eastAsia"/>
          <w:sz w:val="24"/>
          <w:szCs w:val="24"/>
        </w:rPr>
        <w:t>合一，适用于</w:t>
      </w:r>
      <w:r w:rsidR="002F5A47">
        <w:rPr>
          <w:rFonts w:ascii="华文细黑" w:eastAsia="华文细黑" w:hAnsi="华文细黑" w:hint="eastAsia"/>
          <w:sz w:val="24"/>
          <w:szCs w:val="24"/>
        </w:rPr>
        <w:t>引导协调</w:t>
      </w:r>
      <w:r w:rsidRPr="00FB510D">
        <w:rPr>
          <w:rFonts w:ascii="华文细黑" w:eastAsia="华文细黑" w:hAnsi="华文细黑" w:hint="eastAsia"/>
          <w:sz w:val="24"/>
          <w:szCs w:val="24"/>
        </w:rPr>
        <w:t>地下空间专项规划、详细规划及规划管理工作中普遍性技术问题。</w:t>
      </w:r>
    </w:p>
    <w:p w:rsidR="00805F3F" w:rsidRPr="00FB510D" w:rsidRDefault="00805F3F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（5）结合临港新片区的发展需求和规划、建设、管理实践，不断</w:t>
      </w:r>
      <w:proofErr w:type="gramStart"/>
      <w:r w:rsidRPr="00FB510D">
        <w:rPr>
          <w:rFonts w:ascii="华文细黑" w:eastAsia="华文细黑" w:hAnsi="华文细黑" w:hint="eastAsia"/>
          <w:sz w:val="24"/>
          <w:szCs w:val="24"/>
        </w:rPr>
        <w:t>完善导</w:t>
      </w:r>
      <w:proofErr w:type="gramEnd"/>
      <w:r w:rsidRPr="00FB510D">
        <w:rPr>
          <w:rFonts w:ascii="华文细黑" w:eastAsia="华文细黑" w:hAnsi="华文细黑" w:hint="eastAsia"/>
          <w:sz w:val="24"/>
          <w:szCs w:val="24"/>
        </w:rPr>
        <w:t>则内容。</w:t>
      </w:r>
      <w:proofErr w:type="gramStart"/>
      <w:r w:rsidRPr="00FB510D">
        <w:rPr>
          <w:rFonts w:ascii="华文细黑" w:eastAsia="华文细黑" w:hAnsi="华文细黑" w:hint="eastAsia"/>
          <w:sz w:val="24"/>
          <w:szCs w:val="24"/>
        </w:rPr>
        <w:t>定期对导则</w:t>
      </w:r>
      <w:proofErr w:type="gramEnd"/>
      <w:r w:rsidRPr="00FB510D">
        <w:rPr>
          <w:rFonts w:ascii="华文细黑" w:eastAsia="华文细黑" w:hAnsi="华文细黑" w:hint="eastAsia"/>
          <w:sz w:val="24"/>
          <w:szCs w:val="24"/>
        </w:rPr>
        <w:t>实施情况进行评估，适时启动导则的修订和更新，保持导则的前瞻性、引领性和可操作性。</w:t>
      </w:r>
    </w:p>
    <w:p w:rsidR="00805F3F" w:rsidRPr="00FB510D" w:rsidRDefault="00805F3F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（6）本导则适用于临港新片区主城区343平方公里</w:t>
      </w:r>
      <w:proofErr w:type="gramStart"/>
      <w:r w:rsidRPr="00FB510D">
        <w:rPr>
          <w:rFonts w:ascii="华文细黑" w:eastAsia="华文细黑" w:hAnsi="华文细黑" w:hint="eastAsia"/>
          <w:sz w:val="24"/>
          <w:szCs w:val="24"/>
        </w:rPr>
        <w:t>范围内地</w:t>
      </w:r>
      <w:proofErr w:type="gramEnd"/>
      <w:r w:rsidRPr="00FB510D">
        <w:rPr>
          <w:rFonts w:ascii="华文细黑" w:eastAsia="华文细黑" w:hAnsi="华文细黑" w:hint="eastAsia"/>
          <w:sz w:val="24"/>
          <w:szCs w:val="24"/>
        </w:rPr>
        <w:t>下空间规划设计和建设管理，</w:t>
      </w:r>
      <w:r w:rsidR="002F5A47">
        <w:rPr>
          <w:rFonts w:ascii="华文细黑" w:eastAsia="华文细黑" w:hAnsi="华文细黑" w:hint="eastAsia"/>
          <w:sz w:val="24"/>
          <w:szCs w:val="24"/>
        </w:rPr>
        <w:t>地下空间规划</w:t>
      </w:r>
      <w:proofErr w:type="gramStart"/>
      <w:r w:rsidR="002F5A47">
        <w:rPr>
          <w:rFonts w:ascii="华文细黑" w:eastAsia="华文细黑" w:hAnsi="华文细黑" w:hint="eastAsia"/>
          <w:sz w:val="24"/>
          <w:szCs w:val="24"/>
        </w:rPr>
        <w:t>建设</w:t>
      </w:r>
      <w:r w:rsidRPr="00FB510D">
        <w:rPr>
          <w:rFonts w:ascii="华文细黑" w:eastAsia="华文细黑" w:hAnsi="华文细黑" w:hint="eastAsia"/>
          <w:sz w:val="24"/>
          <w:szCs w:val="24"/>
        </w:rPr>
        <w:t>另应符合</w:t>
      </w:r>
      <w:proofErr w:type="gramEnd"/>
      <w:r w:rsidRPr="00FB510D">
        <w:rPr>
          <w:rFonts w:ascii="华文细黑" w:eastAsia="华文细黑" w:hAnsi="华文细黑" w:hint="eastAsia"/>
          <w:sz w:val="24"/>
          <w:szCs w:val="24"/>
        </w:rPr>
        <w:t>国家、行业和上海市现行相关标准规范。</w:t>
      </w:r>
    </w:p>
    <w:p w:rsidR="008503B5" w:rsidRPr="00FB510D" w:rsidRDefault="008503B5" w:rsidP="00C2225B">
      <w:pPr>
        <w:pStyle w:val="2"/>
        <w:rPr>
          <w:rFonts w:ascii="华文细黑" w:eastAsia="华文细黑" w:hAnsi="华文细黑"/>
        </w:rPr>
      </w:pPr>
      <w:bookmarkStart w:id="2" w:name="_Toc55729009"/>
      <w:r w:rsidRPr="00FB510D">
        <w:rPr>
          <w:rFonts w:ascii="华文细黑" w:eastAsia="华文细黑" w:hAnsi="华文细黑" w:hint="eastAsia"/>
        </w:rPr>
        <w:t>1</w:t>
      </w:r>
      <w:r w:rsidRPr="00FB510D">
        <w:rPr>
          <w:rFonts w:ascii="华文细黑" w:eastAsia="华文细黑" w:hAnsi="华文细黑"/>
        </w:rPr>
        <w:t>.2</w:t>
      </w:r>
      <w:r w:rsidRPr="00FB510D">
        <w:rPr>
          <w:rFonts w:ascii="华文细黑" w:eastAsia="华文细黑" w:hAnsi="华文细黑" w:hint="eastAsia"/>
        </w:rPr>
        <w:t>目标理念</w:t>
      </w:r>
      <w:bookmarkEnd w:id="2"/>
    </w:p>
    <w:p w:rsidR="00E238C0" w:rsidRPr="00FB510D" w:rsidRDefault="008503B5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贯彻落实“五个重要”发展要求，对</w:t>
      </w:r>
      <w:proofErr w:type="gramStart"/>
      <w:r w:rsidRPr="00FB510D">
        <w:rPr>
          <w:rFonts w:ascii="华文细黑" w:eastAsia="华文细黑" w:hAnsi="华文细黑" w:hint="eastAsia"/>
          <w:sz w:val="24"/>
          <w:szCs w:val="24"/>
        </w:rPr>
        <w:t>标国际</w:t>
      </w:r>
      <w:proofErr w:type="gramEnd"/>
      <w:r w:rsidRPr="00FB510D">
        <w:rPr>
          <w:rFonts w:ascii="华文细黑" w:eastAsia="华文细黑" w:hAnsi="华文细黑" w:hint="eastAsia"/>
          <w:sz w:val="24"/>
          <w:szCs w:val="24"/>
        </w:rPr>
        <w:t>最新实践经验</w:t>
      </w:r>
      <w:r w:rsidR="00497953" w:rsidRPr="00FB510D">
        <w:rPr>
          <w:rFonts w:ascii="华文细黑" w:eastAsia="华文细黑" w:hAnsi="华文细黑" w:hint="eastAsia"/>
          <w:sz w:val="24"/>
          <w:szCs w:val="24"/>
        </w:rPr>
        <w:t>和发展</w:t>
      </w:r>
      <w:r w:rsidR="00497953">
        <w:rPr>
          <w:rFonts w:ascii="华文细黑" w:eastAsia="华文细黑" w:hAnsi="华文细黑" w:hint="eastAsia"/>
          <w:sz w:val="24"/>
          <w:szCs w:val="24"/>
        </w:rPr>
        <w:t>趋势</w:t>
      </w:r>
      <w:r w:rsidRPr="00FB510D">
        <w:rPr>
          <w:rFonts w:ascii="华文细黑" w:eastAsia="华文细黑" w:hAnsi="华文细黑" w:hint="eastAsia"/>
          <w:sz w:val="24"/>
          <w:szCs w:val="24"/>
        </w:rPr>
        <w:t>，</w:t>
      </w:r>
      <w:r w:rsidR="00497953">
        <w:rPr>
          <w:rFonts w:ascii="华文细黑" w:eastAsia="华文细黑" w:hAnsi="华文细黑" w:hint="eastAsia"/>
          <w:sz w:val="24"/>
          <w:szCs w:val="24"/>
        </w:rPr>
        <w:t>坚持以</w:t>
      </w:r>
      <w:r w:rsidR="00497953" w:rsidRPr="00FB510D">
        <w:rPr>
          <w:rFonts w:ascii="华文细黑" w:eastAsia="华文细黑" w:hAnsi="华文细黑" w:hint="eastAsia"/>
          <w:sz w:val="24"/>
          <w:szCs w:val="24"/>
        </w:rPr>
        <w:t>人民</w:t>
      </w:r>
      <w:r w:rsidR="00497953">
        <w:rPr>
          <w:rFonts w:ascii="华文细黑" w:eastAsia="华文细黑" w:hAnsi="华文细黑" w:hint="eastAsia"/>
          <w:sz w:val="24"/>
          <w:szCs w:val="24"/>
        </w:rPr>
        <w:t>为中心的发展理念，</w:t>
      </w:r>
      <w:r w:rsidRPr="00FB510D">
        <w:rPr>
          <w:rFonts w:ascii="华文细黑" w:eastAsia="华文细黑" w:hAnsi="华文细黑" w:hint="eastAsia"/>
          <w:sz w:val="24"/>
          <w:szCs w:val="24"/>
        </w:rPr>
        <w:t>统筹规划城市地上地下空间资源</w:t>
      </w:r>
      <w:r w:rsidR="00497953">
        <w:rPr>
          <w:rFonts w:ascii="华文细黑" w:eastAsia="华文细黑" w:hAnsi="华文细黑" w:hint="eastAsia"/>
          <w:sz w:val="24"/>
          <w:szCs w:val="24"/>
        </w:rPr>
        <w:t>。从城市的地下空间向地下的城市空间转变，</w:t>
      </w:r>
      <w:r w:rsidR="00C821CB" w:rsidRPr="00FB510D">
        <w:rPr>
          <w:rFonts w:ascii="华文细黑" w:eastAsia="华文细黑" w:hAnsi="华文细黑" w:hint="eastAsia"/>
          <w:sz w:val="24"/>
          <w:szCs w:val="24"/>
        </w:rPr>
        <w:t>构建体系完整、功能复合、安全韧性、</w:t>
      </w:r>
      <w:r w:rsidR="00497953">
        <w:rPr>
          <w:rFonts w:ascii="华文细黑" w:eastAsia="华文细黑" w:hAnsi="华文细黑" w:hint="eastAsia"/>
          <w:sz w:val="24"/>
          <w:szCs w:val="24"/>
        </w:rPr>
        <w:t>绿色智慧</w:t>
      </w:r>
      <w:r w:rsidR="00C821CB" w:rsidRPr="00FB510D">
        <w:rPr>
          <w:rFonts w:ascii="华文细黑" w:eastAsia="华文细黑" w:hAnsi="华文细黑" w:hint="eastAsia"/>
          <w:sz w:val="24"/>
          <w:szCs w:val="24"/>
        </w:rPr>
        <w:t>的地下空间功能系统，</w:t>
      </w:r>
      <w:r w:rsidR="00497953">
        <w:rPr>
          <w:rFonts w:ascii="华文细黑" w:eastAsia="华文细黑" w:hAnsi="华文细黑" w:hint="eastAsia"/>
          <w:sz w:val="24"/>
          <w:szCs w:val="24"/>
        </w:rPr>
        <w:t>强化地下空间竖向分层、横向连通、有机生长，</w:t>
      </w:r>
      <w:r w:rsidRPr="00FB510D">
        <w:rPr>
          <w:rFonts w:ascii="华文细黑" w:eastAsia="华文细黑" w:hAnsi="华文细黑" w:hint="eastAsia"/>
          <w:sz w:val="24"/>
          <w:szCs w:val="24"/>
        </w:rPr>
        <w:t>努力建设开放创新、智慧生态、</w:t>
      </w:r>
      <w:proofErr w:type="gramStart"/>
      <w:r w:rsidRPr="00FB510D">
        <w:rPr>
          <w:rFonts w:ascii="华文细黑" w:eastAsia="华文细黑" w:hAnsi="华文细黑" w:hint="eastAsia"/>
          <w:sz w:val="24"/>
          <w:szCs w:val="24"/>
        </w:rPr>
        <w:t>产城融合、宜业宜</w:t>
      </w:r>
      <w:proofErr w:type="gramEnd"/>
      <w:r w:rsidRPr="00FB510D">
        <w:rPr>
          <w:rFonts w:ascii="华文细黑" w:eastAsia="华文细黑" w:hAnsi="华文细黑" w:hint="eastAsia"/>
          <w:sz w:val="24"/>
          <w:szCs w:val="24"/>
        </w:rPr>
        <w:t>居的现代化</w:t>
      </w:r>
      <w:r w:rsidR="00497953">
        <w:rPr>
          <w:rFonts w:ascii="华文细黑" w:eastAsia="华文细黑" w:hAnsi="华文细黑" w:hint="eastAsia"/>
          <w:sz w:val="24"/>
          <w:szCs w:val="24"/>
        </w:rPr>
        <w:t>立体</w:t>
      </w:r>
      <w:r w:rsidRPr="00FB510D">
        <w:rPr>
          <w:rFonts w:ascii="华文细黑" w:eastAsia="华文细黑" w:hAnsi="华文细黑" w:hint="eastAsia"/>
          <w:sz w:val="24"/>
          <w:szCs w:val="24"/>
        </w:rPr>
        <w:t>新城。</w:t>
      </w:r>
    </w:p>
    <w:p w:rsidR="00E238C0" w:rsidRPr="00FB510D" w:rsidRDefault="00E238C0" w:rsidP="00C2225B">
      <w:pPr>
        <w:pStyle w:val="1"/>
        <w:rPr>
          <w:rFonts w:ascii="华文细黑" w:eastAsia="华文细黑" w:hAnsi="华文细黑"/>
        </w:rPr>
      </w:pPr>
      <w:bookmarkStart w:id="3" w:name="_Toc55729010"/>
      <w:r w:rsidRPr="00FB510D">
        <w:rPr>
          <w:rFonts w:ascii="华文细黑" w:eastAsia="华文细黑" w:hAnsi="华文细黑" w:hint="eastAsia"/>
        </w:rPr>
        <w:t>2</w:t>
      </w:r>
      <w:r w:rsidR="00151CEA" w:rsidRPr="00FB510D">
        <w:rPr>
          <w:rFonts w:ascii="华文细黑" w:eastAsia="华文细黑" w:hAnsi="华文细黑" w:hint="eastAsia"/>
        </w:rPr>
        <w:t xml:space="preserve"> 总体规划指引</w:t>
      </w:r>
      <w:bookmarkEnd w:id="3"/>
    </w:p>
    <w:p w:rsidR="00151CEA" w:rsidRPr="00FB510D" w:rsidRDefault="00151CEA" w:rsidP="00C2225B">
      <w:pPr>
        <w:pStyle w:val="2"/>
        <w:rPr>
          <w:rFonts w:ascii="华文细黑" w:eastAsia="华文细黑" w:hAnsi="华文细黑"/>
        </w:rPr>
      </w:pPr>
      <w:bookmarkStart w:id="4" w:name="_Toc55729011"/>
      <w:r w:rsidRPr="00FB510D">
        <w:rPr>
          <w:rFonts w:ascii="华文细黑" w:eastAsia="华文细黑" w:hAnsi="华文细黑"/>
        </w:rPr>
        <w:t>2.1</w:t>
      </w:r>
      <w:r w:rsidRPr="00FB510D">
        <w:rPr>
          <w:rFonts w:ascii="华文细黑" w:eastAsia="华文细黑" w:hAnsi="华文细黑" w:hint="eastAsia"/>
        </w:rPr>
        <w:t xml:space="preserve"> 地下空间总体结构</w:t>
      </w:r>
      <w:bookmarkEnd w:id="4"/>
    </w:p>
    <w:p w:rsidR="00151CEA" w:rsidRPr="00FB510D" w:rsidRDefault="00151CEA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根据新片区土地使用规划布局，与城市空间形态结构相协调、以轨道交通</w:t>
      </w:r>
      <w:r w:rsidR="005B1D3C">
        <w:rPr>
          <w:rFonts w:ascii="华文细黑" w:eastAsia="华文细黑" w:hAnsi="华文细黑" w:hint="eastAsia"/>
          <w:sz w:val="24"/>
          <w:szCs w:val="24"/>
        </w:rPr>
        <w:t>线网</w:t>
      </w:r>
      <w:r w:rsidRPr="00FB510D">
        <w:rPr>
          <w:rFonts w:ascii="华文细黑" w:eastAsia="华文细黑" w:hAnsi="华文细黑"/>
          <w:sz w:val="24"/>
          <w:szCs w:val="24"/>
        </w:rPr>
        <w:t>为基本骨架，以主要交通枢纽和重要功能地区为综合开发重要节点，规划形成“</w:t>
      </w:r>
      <w:proofErr w:type="gramStart"/>
      <w:r w:rsidRPr="00FB510D">
        <w:rPr>
          <w:rFonts w:ascii="华文细黑" w:eastAsia="华文细黑" w:hAnsi="华文细黑"/>
          <w:sz w:val="24"/>
          <w:szCs w:val="24"/>
        </w:rPr>
        <w:t>一</w:t>
      </w:r>
      <w:proofErr w:type="gramEnd"/>
      <w:r w:rsidRPr="00FB510D">
        <w:rPr>
          <w:rFonts w:ascii="华文细黑" w:eastAsia="华文细黑" w:hAnsi="华文细黑"/>
          <w:sz w:val="24"/>
          <w:szCs w:val="24"/>
        </w:rPr>
        <w:t>核</w:t>
      </w:r>
      <w:r w:rsidR="003211A0">
        <w:rPr>
          <w:rFonts w:ascii="华文细黑" w:eastAsia="华文细黑" w:hAnsi="华文细黑" w:hint="eastAsia"/>
          <w:sz w:val="24"/>
          <w:szCs w:val="24"/>
        </w:rPr>
        <w:t>三</w:t>
      </w:r>
      <w:r w:rsidRPr="00FB510D">
        <w:rPr>
          <w:rFonts w:ascii="华文细黑" w:eastAsia="华文细黑" w:hAnsi="华文细黑"/>
          <w:sz w:val="24"/>
          <w:szCs w:val="24"/>
        </w:rPr>
        <w:t>轴多节点”的网络化地下空间。</w:t>
      </w:r>
    </w:p>
    <w:p w:rsidR="00151CEA" w:rsidRPr="00FB510D" w:rsidRDefault="00151CEA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“一核”：以滴水</w:t>
      </w:r>
      <w:proofErr w:type="gramStart"/>
      <w:r w:rsidRPr="00FB510D">
        <w:rPr>
          <w:rFonts w:ascii="华文细黑" w:eastAsia="华文细黑" w:hAnsi="华文细黑" w:hint="eastAsia"/>
          <w:sz w:val="24"/>
          <w:szCs w:val="24"/>
        </w:rPr>
        <w:t>湖核心</w:t>
      </w:r>
      <w:proofErr w:type="gramEnd"/>
      <w:r w:rsidRPr="00FB510D">
        <w:rPr>
          <w:rFonts w:ascii="华文细黑" w:eastAsia="华文细黑" w:hAnsi="华文细黑" w:hint="eastAsia"/>
          <w:sz w:val="24"/>
          <w:szCs w:val="24"/>
        </w:rPr>
        <w:t>片区为主体，形成地下空间开发核心区；</w:t>
      </w:r>
    </w:p>
    <w:p w:rsidR="00151CEA" w:rsidRPr="00FB510D" w:rsidRDefault="00151CEA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“</w:t>
      </w:r>
      <w:r w:rsidR="003211A0">
        <w:rPr>
          <w:rFonts w:ascii="华文细黑" w:eastAsia="华文细黑" w:hAnsi="华文细黑" w:hint="eastAsia"/>
          <w:sz w:val="24"/>
          <w:szCs w:val="24"/>
        </w:rPr>
        <w:t>三</w:t>
      </w:r>
      <w:r w:rsidRPr="00FB510D">
        <w:rPr>
          <w:rFonts w:ascii="华文细黑" w:eastAsia="华文细黑" w:hAnsi="华文细黑" w:hint="eastAsia"/>
          <w:sz w:val="24"/>
          <w:szCs w:val="24"/>
        </w:rPr>
        <w:t>轴”：依托轨道交通</w:t>
      </w:r>
      <w:r w:rsidRPr="00FB510D">
        <w:rPr>
          <w:rFonts w:ascii="华文细黑" w:eastAsia="华文细黑" w:hAnsi="华文细黑"/>
          <w:sz w:val="24"/>
          <w:szCs w:val="24"/>
        </w:rPr>
        <w:t>16号线</w:t>
      </w:r>
      <w:r w:rsidR="003211A0">
        <w:rPr>
          <w:rFonts w:ascii="华文细黑" w:eastAsia="华文细黑" w:hAnsi="华文细黑" w:hint="eastAsia"/>
          <w:sz w:val="24"/>
          <w:szCs w:val="24"/>
        </w:rPr>
        <w:t>、</w:t>
      </w:r>
      <w:r w:rsidRPr="00FB510D">
        <w:rPr>
          <w:rFonts w:ascii="华文细黑" w:eastAsia="华文细黑" w:hAnsi="华文细黑"/>
          <w:sz w:val="24"/>
          <w:szCs w:val="24"/>
        </w:rPr>
        <w:t>两港快线</w:t>
      </w:r>
      <w:r w:rsidR="003211A0">
        <w:rPr>
          <w:rFonts w:ascii="华文细黑" w:eastAsia="华文细黑" w:hAnsi="华文细黑" w:hint="eastAsia"/>
          <w:sz w:val="24"/>
          <w:szCs w:val="24"/>
        </w:rPr>
        <w:t>、市区线</w:t>
      </w:r>
      <w:r w:rsidR="005B1D3C">
        <w:rPr>
          <w:rFonts w:ascii="华文细黑" w:eastAsia="华文细黑" w:hAnsi="华文细黑" w:hint="eastAsia"/>
          <w:sz w:val="24"/>
          <w:szCs w:val="24"/>
        </w:rPr>
        <w:t>等线网</w:t>
      </w:r>
      <w:r w:rsidRPr="00FB510D">
        <w:rPr>
          <w:rFonts w:ascii="华文细黑" w:eastAsia="华文细黑" w:hAnsi="华文细黑"/>
          <w:sz w:val="24"/>
          <w:szCs w:val="24"/>
        </w:rPr>
        <w:t>，形成串联各组团和开发节点的联系轴；</w:t>
      </w:r>
    </w:p>
    <w:p w:rsidR="00151CEA" w:rsidRPr="00FB510D" w:rsidRDefault="00151CEA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“多节点”：结合</w:t>
      </w:r>
      <w:r w:rsidRPr="00FB510D">
        <w:rPr>
          <w:rFonts w:ascii="华文细黑" w:eastAsia="华文细黑" w:hAnsi="华文细黑"/>
          <w:sz w:val="24"/>
          <w:szCs w:val="24"/>
        </w:rPr>
        <w:t>TOD站点区、产业重点发展区、人员活动密集区等形成地下空间综合开发重要节点；</w:t>
      </w:r>
    </w:p>
    <w:p w:rsidR="00151CEA" w:rsidRPr="00FB510D" w:rsidRDefault="00151CEA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“网络化”：包括轨道交通、综合管廊、集中能源网络，重要功能组团片区内形成</w:t>
      </w:r>
      <w:r w:rsidR="003A18AA">
        <w:rPr>
          <w:rFonts w:ascii="华文细黑" w:eastAsia="华文细黑" w:hAnsi="华文细黑" w:hint="eastAsia"/>
          <w:sz w:val="24"/>
          <w:szCs w:val="24"/>
        </w:rPr>
        <w:t>交通</w:t>
      </w:r>
      <w:r w:rsidRPr="00FB510D">
        <w:rPr>
          <w:rFonts w:ascii="华文细黑" w:eastAsia="华文细黑" w:hAnsi="华文细黑" w:hint="eastAsia"/>
          <w:sz w:val="24"/>
          <w:szCs w:val="24"/>
        </w:rPr>
        <w:t>连通网络。</w:t>
      </w:r>
    </w:p>
    <w:p w:rsidR="00151CEA" w:rsidRPr="00FB510D" w:rsidRDefault="00151CEA" w:rsidP="00C2225B">
      <w:pPr>
        <w:pStyle w:val="2"/>
        <w:rPr>
          <w:rFonts w:ascii="华文细黑" w:eastAsia="华文细黑" w:hAnsi="华文细黑"/>
        </w:rPr>
      </w:pPr>
      <w:bookmarkStart w:id="5" w:name="_Toc55729012"/>
      <w:r w:rsidRPr="00FB510D">
        <w:rPr>
          <w:rFonts w:ascii="华文细黑" w:eastAsia="华文细黑" w:hAnsi="华文细黑"/>
        </w:rPr>
        <w:t>2.2 地下空间功能类型</w:t>
      </w:r>
      <w:bookmarkEnd w:id="5"/>
    </w:p>
    <w:p w:rsidR="008503B5" w:rsidRDefault="008503B5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临港新片区地下空间</w:t>
      </w:r>
      <w:r w:rsidR="00AF763B">
        <w:rPr>
          <w:rFonts w:ascii="华文细黑" w:eastAsia="华文细黑" w:hAnsi="华文细黑" w:hint="eastAsia"/>
          <w:sz w:val="24"/>
          <w:szCs w:val="24"/>
        </w:rPr>
        <w:t>设施</w:t>
      </w:r>
      <w:r w:rsidRPr="00FB510D">
        <w:rPr>
          <w:rFonts w:ascii="华文细黑" w:eastAsia="华文细黑" w:hAnsi="华文细黑" w:hint="eastAsia"/>
          <w:sz w:val="24"/>
          <w:szCs w:val="24"/>
        </w:rPr>
        <w:t>可分为地下交通功能、地下市政功能、地下公共活动功能、地下防灾</w:t>
      </w:r>
      <w:r w:rsidR="001A29C6" w:rsidRPr="00FB510D">
        <w:rPr>
          <w:rFonts w:ascii="华文细黑" w:eastAsia="华文细黑" w:hAnsi="华文细黑" w:hint="eastAsia"/>
          <w:sz w:val="24"/>
          <w:szCs w:val="24"/>
        </w:rPr>
        <w:t>安全</w:t>
      </w:r>
      <w:r w:rsidRPr="00FB510D">
        <w:rPr>
          <w:rFonts w:ascii="华文细黑" w:eastAsia="华文细黑" w:hAnsi="华文细黑" w:hint="eastAsia"/>
          <w:sz w:val="24"/>
          <w:szCs w:val="24"/>
        </w:rPr>
        <w:t>功能</w:t>
      </w:r>
      <w:r w:rsidR="00645E01">
        <w:rPr>
          <w:rFonts w:ascii="华文细黑" w:eastAsia="华文细黑" w:hAnsi="华文细黑" w:hint="eastAsia"/>
          <w:sz w:val="24"/>
          <w:szCs w:val="24"/>
        </w:rPr>
        <w:t>和其它功能五</w:t>
      </w:r>
      <w:r w:rsidRPr="00FB510D">
        <w:rPr>
          <w:rFonts w:ascii="华文细黑" w:eastAsia="华文细黑" w:hAnsi="华文细黑" w:hint="eastAsia"/>
          <w:sz w:val="24"/>
          <w:szCs w:val="24"/>
        </w:rPr>
        <w:t>大类</w:t>
      </w:r>
      <w:r w:rsidR="004375D3">
        <w:rPr>
          <w:rFonts w:ascii="华文细黑" w:eastAsia="华文细黑" w:hAnsi="华文细黑" w:hint="eastAsia"/>
          <w:sz w:val="24"/>
          <w:szCs w:val="24"/>
        </w:rPr>
        <w:t>，促进各类功能空间高质量发展</w:t>
      </w:r>
      <w:r w:rsidRPr="00FB510D">
        <w:rPr>
          <w:rFonts w:ascii="华文细黑" w:eastAsia="华文细黑" w:hAnsi="华文细黑" w:hint="eastAsia"/>
          <w:sz w:val="24"/>
          <w:szCs w:val="24"/>
        </w:rPr>
        <w:t>。</w:t>
      </w:r>
    </w:p>
    <w:p w:rsidR="001A29C6" w:rsidRPr="001A29C6" w:rsidRDefault="001A29C6" w:rsidP="000A5A79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1A29C6">
        <w:rPr>
          <w:rFonts w:ascii="华文细黑" w:eastAsia="华文细黑" w:hAnsi="华文细黑" w:hint="eastAsia"/>
          <w:sz w:val="24"/>
          <w:szCs w:val="24"/>
        </w:rPr>
        <w:t>（1</w:t>
      </w:r>
      <w:r>
        <w:rPr>
          <w:rFonts w:ascii="华文细黑" w:eastAsia="华文细黑" w:hAnsi="华文细黑" w:hint="eastAsia"/>
          <w:sz w:val="24"/>
          <w:szCs w:val="24"/>
        </w:rPr>
        <w:t>）</w:t>
      </w:r>
      <w:r w:rsidRPr="001A29C6">
        <w:rPr>
          <w:rFonts w:ascii="华文细黑" w:eastAsia="华文细黑" w:hAnsi="华文细黑" w:hint="eastAsia"/>
          <w:sz w:val="24"/>
          <w:szCs w:val="24"/>
        </w:rPr>
        <w:t>地下交通功能</w:t>
      </w:r>
      <w:r>
        <w:rPr>
          <w:rFonts w:ascii="华文细黑" w:eastAsia="华文细黑" w:hAnsi="华文细黑" w:hint="eastAsia"/>
          <w:sz w:val="24"/>
          <w:szCs w:val="24"/>
        </w:rPr>
        <w:t>：包括</w:t>
      </w:r>
      <w:r w:rsidR="00645E01">
        <w:rPr>
          <w:rFonts w:ascii="华文细黑" w:eastAsia="华文细黑" w:hAnsi="华文细黑" w:hint="eastAsia"/>
          <w:sz w:val="24"/>
          <w:szCs w:val="24"/>
        </w:rPr>
        <w:t>地下</w:t>
      </w:r>
      <w:r w:rsidR="000A5A79">
        <w:rPr>
          <w:rFonts w:ascii="华文细黑" w:eastAsia="华文细黑" w:hAnsi="华文细黑" w:hint="eastAsia"/>
          <w:sz w:val="24"/>
          <w:szCs w:val="24"/>
        </w:rPr>
        <w:t>轨道交通设施、</w:t>
      </w:r>
      <w:r w:rsidR="00645E01">
        <w:rPr>
          <w:rFonts w:ascii="华文细黑" w:eastAsia="华文细黑" w:hAnsi="华文细黑" w:hint="eastAsia"/>
          <w:sz w:val="24"/>
          <w:szCs w:val="24"/>
        </w:rPr>
        <w:t>地下交通枢纽、</w:t>
      </w:r>
      <w:r w:rsidR="000A5A79">
        <w:rPr>
          <w:rFonts w:ascii="华文细黑" w:eastAsia="华文细黑" w:hAnsi="华文细黑" w:hint="eastAsia"/>
          <w:sz w:val="24"/>
          <w:szCs w:val="24"/>
        </w:rPr>
        <w:t>地下停车</w:t>
      </w:r>
      <w:r w:rsidR="00645E01">
        <w:rPr>
          <w:rFonts w:ascii="华文细黑" w:eastAsia="华文细黑" w:hAnsi="华文细黑" w:hint="eastAsia"/>
          <w:sz w:val="24"/>
          <w:szCs w:val="24"/>
        </w:rPr>
        <w:t>库</w:t>
      </w:r>
      <w:r w:rsidR="000A5A79">
        <w:rPr>
          <w:rFonts w:ascii="华文细黑" w:eastAsia="华文细黑" w:hAnsi="华文细黑" w:hint="eastAsia"/>
          <w:sz w:val="24"/>
          <w:szCs w:val="24"/>
        </w:rPr>
        <w:t>、地下</w:t>
      </w:r>
      <w:r w:rsidR="00645E01">
        <w:rPr>
          <w:rFonts w:ascii="华文细黑" w:eastAsia="华文细黑" w:hAnsi="华文细黑" w:hint="eastAsia"/>
          <w:sz w:val="24"/>
          <w:szCs w:val="24"/>
        </w:rPr>
        <w:t>车行</w:t>
      </w:r>
      <w:r w:rsidR="000A5A79">
        <w:rPr>
          <w:rFonts w:ascii="华文细黑" w:eastAsia="华文细黑" w:hAnsi="华文细黑" w:hint="eastAsia"/>
          <w:sz w:val="24"/>
          <w:szCs w:val="24"/>
        </w:rPr>
        <w:t>道路、</w:t>
      </w:r>
      <w:r w:rsidR="00645E01">
        <w:rPr>
          <w:rFonts w:ascii="华文细黑" w:eastAsia="华文细黑" w:hAnsi="华文细黑" w:hint="eastAsia"/>
          <w:sz w:val="24"/>
          <w:szCs w:val="24"/>
        </w:rPr>
        <w:t>地下步行通道</w:t>
      </w:r>
      <w:r w:rsidR="000A5A79">
        <w:rPr>
          <w:rFonts w:ascii="华文细黑" w:eastAsia="华文细黑" w:hAnsi="华文细黑" w:hint="eastAsia"/>
          <w:sz w:val="24"/>
          <w:szCs w:val="24"/>
        </w:rPr>
        <w:t>等。</w:t>
      </w:r>
    </w:p>
    <w:p w:rsidR="000A5A79" w:rsidRPr="000A5A79" w:rsidRDefault="001A29C6" w:rsidP="000A5A79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0A5A79">
        <w:rPr>
          <w:rFonts w:ascii="华文细黑" w:eastAsia="华文细黑" w:hAnsi="华文细黑" w:hint="eastAsia"/>
          <w:sz w:val="24"/>
          <w:szCs w:val="24"/>
        </w:rPr>
        <w:t>（2）地下市政功能：包括</w:t>
      </w:r>
      <w:r w:rsidR="000A5A79" w:rsidRPr="000A5A79">
        <w:rPr>
          <w:rFonts w:ascii="华文细黑" w:eastAsia="华文细黑" w:hAnsi="华文细黑" w:hint="eastAsia"/>
          <w:sz w:val="24"/>
          <w:szCs w:val="24"/>
        </w:rPr>
        <w:t>地下综合管廊、市政管道、地下能源站、地下变电站、地下污水厂、地下垃圾转运站、地下</w:t>
      </w:r>
      <w:r w:rsidR="000A5A79">
        <w:rPr>
          <w:rFonts w:ascii="华文细黑" w:eastAsia="华文细黑" w:hAnsi="华文细黑" w:hint="eastAsia"/>
          <w:sz w:val="24"/>
          <w:szCs w:val="24"/>
        </w:rPr>
        <w:t>雨水</w:t>
      </w:r>
      <w:r w:rsidR="000A5A79" w:rsidRPr="000A5A79">
        <w:rPr>
          <w:rFonts w:ascii="华文细黑" w:eastAsia="华文细黑" w:hAnsi="华文细黑" w:hint="eastAsia"/>
          <w:sz w:val="24"/>
          <w:szCs w:val="24"/>
        </w:rPr>
        <w:t>蓄水池</w:t>
      </w:r>
      <w:r w:rsidR="000A5A79">
        <w:rPr>
          <w:rFonts w:ascii="华文细黑" w:eastAsia="华文细黑" w:hAnsi="华文细黑" w:hint="eastAsia"/>
          <w:sz w:val="24"/>
          <w:szCs w:val="24"/>
        </w:rPr>
        <w:t>和</w:t>
      </w:r>
      <w:r w:rsidR="000A5A79" w:rsidRPr="000A5A79">
        <w:rPr>
          <w:rFonts w:ascii="华文细黑" w:eastAsia="华文细黑" w:hAnsi="华文细黑" w:hint="eastAsia"/>
          <w:sz w:val="24"/>
          <w:szCs w:val="24"/>
        </w:rPr>
        <w:t>泵站等设施。</w:t>
      </w:r>
    </w:p>
    <w:p w:rsidR="001A29C6" w:rsidRPr="000A5A79" w:rsidRDefault="001A29C6" w:rsidP="000A5A79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0A5A79">
        <w:rPr>
          <w:rFonts w:ascii="华文细黑" w:eastAsia="华文细黑" w:hAnsi="华文细黑" w:hint="eastAsia"/>
          <w:sz w:val="24"/>
          <w:szCs w:val="24"/>
        </w:rPr>
        <w:t>（3）地下公共活动功能：包括</w:t>
      </w:r>
      <w:r w:rsidR="000A5A79" w:rsidRPr="000A5A79">
        <w:rPr>
          <w:rFonts w:ascii="华文细黑" w:eastAsia="华文细黑" w:hAnsi="华文细黑" w:hint="eastAsia"/>
          <w:sz w:val="24"/>
          <w:szCs w:val="24"/>
        </w:rPr>
        <w:t>地下商场、</w:t>
      </w:r>
      <w:r w:rsidR="00645E01">
        <w:rPr>
          <w:rFonts w:ascii="华文细黑" w:eastAsia="华文细黑" w:hAnsi="华文细黑" w:hint="eastAsia"/>
          <w:sz w:val="24"/>
          <w:szCs w:val="24"/>
        </w:rPr>
        <w:t>地下</w:t>
      </w:r>
      <w:r w:rsidR="000A5A79" w:rsidRPr="000A5A79">
        <w:rPr>
          <w:rFonts w:ascii="华文细黑" w:eastAsia="华文细黑" w:hAnsi="华文细黑" w:hint="eastAsia"/>
          <w:sz w:val="24"/>
          <w:szCs w:val="24"/>
        </w:rPr>
        <w:t>商业街、</w:t>
      </w:r>
      <w:r w:rsidR="00645E01">
        <w:rPr>
          <w:rFonts w:ascii="华文细黑" w:eastAsia="华文细黑" w:hAnsi="华文细黑" w:hint="eastAsia"/>
          <w:sz w:val="24"/>
          <w:szCs w:val="24"/>
        </w:rPr>
        <w:t>地下公共通</w:t>
      </w:r>
      <w:r w:rsidR="000A5A79" w:rsidRPr="000A5A79">
        <w:rPr>
          <w:rFonts w:ascii="华文细黑" w:eastAsia="华文细黑" w:hAnsi="华文细黑" w:hint="eastAsia"/>
          <w:sz w:val="24"/>
          <w:szCs w:val="24"/>
        </w:rPr>
        <w:t>道、下沉广场，地下文化、娱乐、办公、科研、体育</w:t>
      </w:r>
      <w:r w:rsidR="000A5A79">
        <w:rPr>
          <w:rFonts w:ascii="华文细黑" w:eastAsia="华文细黑" w:hAnsi="华文细黑" w:hint="eastAsia"/>
          <w:sz w:val="24"/>
          <w:szCs w:val="24"/>
        </w:rPr>
        <w:t>和</w:t>
      </w:r>
      <w:r w:rsidR="000A5A79" w:rsidRPr="000A5A79">
        <w:rPr>
          <w:rFonts w:ascii="华文细黑" w:eastAsia="华文细黑" w:hAnsi="华文细黑" w:hint="eastAsia"/>
          <w:sz w:val="24"/>
          <w:szCs w:val="24"/>
        </w:rPr>
        <w:t>医疗等设施。</w:t>
      </w:r>
    </w:p>
    <w:p w:rsidR="001A29C6" w:rsidRDefault="001A29C6" w:rsidP="000A5A79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0A5A79">
        <w:rPr>
          <w:rFonts w:ascii="华文细黑" w:eastAsia="华文细黑" w:hAnsi="华文细黑" w:hint="eastAsia"/>
          <w:sz w:val="24"/>
          <w:szCs w:val="24"/>
        </w:rPr>
        <w:t>（4）地下防灾安全功能：包括</w:t>
      </w:r>
      <w:r w:rsidR="000A5A79" w:rsidRPr="000A5A79">
        <w:rPr>
          <w:rFonts w:ascii="华文细黑" w:eastAsia="华文细黑" w:hAnsi="华文细黑" w:hint="eastAsia"/>
          <w:sz w:val="24"/>
          <w:szCs w:val="24"/>
        </w:rPr>
        <w:t>人防工程、地下应急避难场所、</w:t>
      </w:r>
      <w:r w:rsidR="000A5A79">
        <w:rPr>
          <w:rFonts w:ascii="华文细黑" w:eastAsia="华文细黑" w:hAnsi="华文细黑" w:hint="eastAsia"/>
          <w:sz w:val="24"/>
          <w:szCs w:val="24"/>
        </w:rPr>
        <w:t>地下防洪调蓄</w:t>
      </w:r>
      <w:r w:rsidR="000A5A79" w:rsidRPr="000A5A79">
        <w:rPr>
          <w:rFonts w:ascii="华文细黑" w:eastAsia="华文细黑" w:hAnsi="华文细黑" w:hint="eastAsia"/>
          <w:sz w:val="24"/>
          <w:szCs w:val="24"/>
        </w:rPr>
        <w:t>等</w:t>
      </w:r>
      <w:r w:rsidR="000A5A79">
        <w:rPr>
          <w:rFonts w:ascii="华文细黑" w:eastAsia="华文细黑" w:hAnsi="华文细黑" w:hint="eastAsia"/>
          <w:sz w:val="24"/>
          <w:szCs w:val="24"/>
        </w:rPr>
        <w:t>设施</w:t>
      </w:r>
      <w:r w:rsidR="000A5A79" w:rsidRPr="000A5A79">
        <w:rPr>
          <w:rFonts w:ascii="华文细黑" w:eastAsia="华文细黑" w:hAnsi="华文细黑" w:hint="eastAsia"/>
          <w:sz w:val="24"/>
          <w:szCs w:val="24"/>
        </w:rPr>
        <w:t>。</w:t>
      </w:r>
    </w:p>
    <w:p w:rsidR="00645E01" w:rsidRPr="000A5A79" w:rsidRDefault="00645E01" w:rsidP="000A5A79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 w:hint="eastAsia"/>
          <w:sz w:val="24"/>
          <w:szCs w:val="24"/>
        </w:rPr>
        <w:t>（5）其它功能：主要包括地下仓储设施、地下物流设施、地下数据库、地下工业设施以及其它特殊功能设施等。</w:t>
      </w:r>
    </w:p>
    <w:p w:rsidR="00151CEA" w:rsidRPr="008D75E7" w:rsidRDefault="00151CEA" w:rsidP="00C2225B">
      <w:pPr>
        <w:pStyle w:val="2"/>
        <w:rPr>
          <w:rFonts w:ascii="华文细黑" w:eastAsia="华文细黑" w:hAnsi="华文细黑"/>
        </w:rPr>
      </w:pPr>
      <w:bookmarkStart w:id="6" w:name="_Toc55729013"/>
      <w:r w:rsidRPr="008D75E7">
        <w:rPr>
          <w:rFonts w:ascii="华文细黑" w:eastAsia="华文细黑" w:hAnsi="华文细黑"/>
        </w:rPr>
        <w:t>2.3 地下空间竖向</w:t>
      </w:r>
      <w:r w:rsidR="00CC1C49">
        <w:rPr>
          <w:rFonts w:ascii="华文细黑" w:eastAsia="华文细黑" w:hAnsi="华文细黑" w:hint="eastAsia"/>
        </w:rPr>
        <w:t>指引</w:t>
      </w:r>
      <w:bookmarkEnd w:id="6"/>
    </w:p>
    <w:p w:rsidR="00CC1C49" w:rsidRDefault="00CC1C49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 w:hint="eastAsia"/>
          <w:sz w:val="24"/>
          <w:szCs w:val="24"/>
        </w:rPr>
        <w:t>（1）地下空间竖向分层</w:t>
      </w:r>
    </w:p>
    <w:p w:rsidR="00503AC8" w:rsidRDefault="008503B5" w:rsidP="00503AC8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8D75E7">
        <w:rPr>
          <w:rFonts w:ascii="华文细黑" w:eastAsia="华文细黑" w:hAnsi="华文细黑" w:hint="eastAsia"/>
          <w:sz w:val="24"/>
          <w:szCs w:val="24"/>
        </w:rPr>
        <w:t>地下空间的开发利用应坚持分层、有序开发的原则，统筹浅层、中层、深层三个深度。</w:t>
      </w:r>
    </w:p>
    <w:p w:rsidR="008D75E7" w:rsidRPr="008D75E7" w:rsidRDefault="008D75E7" w:rsidP="00C2225B">
      <w:pPr>
        <w:pStyle w:val="a5"/>
        <w:keepNext/>
        <w:spacing w:line="360" w:lineRule="auto"/>
        <w:jc w:val="center"/>
        <w:rPr>
          <w:rFonts w:ascii="华文细黑" w:eastAsia="华文细黑" w:hAnsi="华文细黑"/>
          <w:sz w:val="21"/>
          <w:szCs w:val="21"/>
        </w:rPr>
      </w:pPr>
      <w:r w:rsidRPr="008D75E7">
        <w:rPr>
          <w:rFonts w:ascii="华文细黑" w:eastAsia="华文细黑" w:hAnsi="华文细黑"/>
          <w:sz w:val="21"/>
          <w:szCs w:val="21"/>
        </w:rPr>
        <w:t xml:space="preserve">表 </w:t>
      </w:r>
      <w:r w:rsidR="00B2470A" w:rsidRPr="008D75E7">
        <w:rPr>
          <w:rFonts w:ascii="华文细黑" w:eastAsia="华文细黑" w:hAnsi="华文细黑"/>
          <w:sz w:val="21"/>
          <w:szCs w:val="21"/>
        </w:rPr>
        <w:fldChar w:fldCharType="begin"/>
      </w:r>
      <w:r w:rsidRPr="008D75E7">
        <w:rPr>
          <w:rFonts w:ascii="华文细黑" w:eastAsia="华文细黑" w:hAnsi="华文细黑"/>
          <w:sz w:val="21"/>
          <w:szCs w:val="21"/>
        </w:rPr>
        <w:instrText xml:space="preserve"> SEQ 表格 \* ARABIC </w:instrText>
      </w:r>
      <w:r w:rsidR="00B2470A" w:rsidRPr="008D75E7">
        <w:rPr>
          <w:rFonts w:ascii="华文细黑" w:eastAsia="华文细黑" w:hAnsi="华文细黑"/>
          <w:sz w:val="21"/>
          <w:szCs w:val="21"/>
        </w:rPr>
        <w:fldChar w:fldCharType="separate"/>
      </w:r>
      <w:r w:rsidR="00EE2215">
        <w:rPr>
          <w:rFonts w:ascii="华文细黑" w:eastAsia="华文细黑" w:hAnsi="华文细黑"/>
          <w:noProof/>
          <w:sz w:val="21"/>
          <w:szCs w:val="21"/>
        </w:rPr>
        <w:t>1</w:t>
      </w:r>
      <w:r w:rsidR="00B2470A" w:rsidRPr="008D75E7">
        <w:rPr>
          <w:rFonts w:ascii="华文细黑" w:eastAsia="华文细黑" w:hAnsi="华文细黑"/>
          <w:sz w:val="21"/>
          <w:szCs w:val="21"/>
        </w:rPr>
        <w:fldChar w:fldCharType="end"/>
      </w:r>
      <w:r w:rsidRPr="008D75E7">
        <w:rPr>
          <w:rFonts w:ascii="华文细黑" w:eastAsia="华文细黑" w:hAnsi="华文细黑" w:hint="eastAsia"/>
          <w:sz w:val="21"/>
          <w:szCs w:val="21"/>
        </w:rPr>
        <w:t>地下空间竖向分层指引表</w:t>
      </w:r>
    </w:p>
    <w:tbl>
      <w:tblPr>
        <w:tblW w:w="8745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19"/>
        <w:gridCol w:w="1296"/>
        <w:gridCol w:w="3256"/>
        <w:gridCol w:w="2674"/>
      </w:tblGrid>
      <w:tr w:rsidR="008D75E7" w:rsidRPr="008D75E7" w:rsidTr="008D75E7">
        <w:trPr>
          <w:divId w:val="2113741559"/>
          <w:trHeight w:val="510"/>
          <w:jc w:val="center"/>
        </w:trPr>
        <w:tc>
          <w:tcPr>
            <w:tcW w:w="2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:rsidR="008D75E7" w:rsidRPr="008D75E7" w:rsidRDefault="008D75E7" w:rsidP="00C2225B">
            <w:pPr>
              <w:widowControl/>
              <w:jc w:val="center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8D75E7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深度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:rsidR="008D75E7" w:rsidRPr="008D75E7" w:rsidRDefault="008D75E7" w:rsidP="00C2225B">
            <w:pPr>
              <w:widowControl/>
              <w:jc w:val="center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8D75E7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市政道路地下空间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:rsidR="008D75E7" w:rsidRPr="008D75E7" w:rsidRDefault="008D75E7" w:rsidP="00C2225B">
            <w:pPr>
              <w:widowControl/>
              <w:jc w:val="center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8D75E7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地块地下空间</w:t>
            </w:r>
          </w:p>
        </w:tc>
      </w:tr>
      <w:tr w:rsidR="008D75E7" w:rsidRPr="008D75E7" w:rsidTr="008D75E7">
        <w:trPr>
          <w:divId w:val="2113741559"/>
          <w:trHeight w:val="949"/>
          <w:jc w:val="center"/>
        </w:trPr>
        <w:tc>
          <w:tcPr>
            <w:tcW w:w="1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:rsidR="008D75E7" w:rsidRPr="008D75E7" w:rsidRDefault="008D75E7" w:rsidP="00C2225B">
            <w:pPr>
              <w:widowControl/>
              <w:jc w:val="center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8D75E7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浅层</w:t>
            </w:r>
          </w:p>
          <w:p w:rsidR="008D75E7" w:rsidRPr="008D75E7" w:rsidRDefault="008D75E7" w:rsidP="00C2225B">
            <w:pPr>
              <w:widowControl/>
              <w:jc w:val="center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8D75E7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（0~-15</w:t>
            </w:r>
            <w:r w:rsidR="005D6C51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米</w:t>
            </w:r>
            <w:r w:rsidRPr="008D75E7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）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:rsidR="008D75E7" w:rsidRPr="008D75E7" w:rsidRDefault="008D75E7" w:rsidP="00C2225B">
            <w:pPr>
              <w:widowControl/>
              <w:jc w:val="center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8D75E7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0~-5</w:t>
            </w:r>
            <w:r w:rsidR="005D6C51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米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:rsidR="008D75E7" w:rsidRPr="008D75E7" w:rsidRDefault="008D75E7" w:rsidP="00C2225B">
            <w:pPr>
              <w:widowControl/>
              <w:jc w:val="center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8D75E7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电力通信、给水排水、燃气能源管道、综合管廊</w:t>
            </w:r>
          </w:p>
        </w:tc>
        <w:tc>
          <w:tcPr>
            <w:tcW w:w="2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:rsidR="008D75E7" w:rsidRPr="008D75E7" w:rsidRDefault="008D75E7" w:rsidP="00C2225B">
            <w:pPr>
              <w:widowControl/>
              <w:jc w:val="center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8D75E7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地下商业、下沉广场、停车库、仓储、设备机房、人防工程、市政场站、蓄水池</w:t>
            </w:r>
          </w:p>
        </w:tc>
      </w:tr>
      <w:tr w:rsidR="008D75E7" w:rsidRPr="008D75E7" w:rsidTr="008D75E7">
        <w:trPr>
          <w:divId w:val="2113741559"/>
          <w:trHeight w:val="119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5E7" w:rsidRPr="008D75E7" w:rsidRDefault="008D75E7" w:rsidP="00C2225B">
            <w:pPr>
              <w:widowControl/>
              <w:jc w:val="left"/>
              <w:rPr>
                <w:rFonts w:ascii="华文细黑" w:eastAsia="华文细黑" w:hAnsi="华文细黑" w:cs="Arial"/>
                <w:kern w:val="0"/>
                <w:szCs w:val="21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:rsidR="008D75E7" w:rsidRPr="008D75E7" w:rsidRDefault="008D75E7" w:rsidP="00C2225B">
            <w:pPr>
              <w:widowControl/>
              <w:jc w:val="center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8D75E7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-5~-15</w:t>
            </w:r>
            <w:r w:rsidR="005D6C51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米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:rsidR="008D75E7" w:rsidRPr="008D75E7" w:rsidRDefault="008D75E7" w:rsidP="00C2225B">
            <w:pPr>
              <w:widowControl/>
              <w:jc w:val="center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8D75E7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地下连通道、地铁车站、地下道路、物流通道、综合管廊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5E7" w:rsidRPr="008D75E7" w:rsidRDefault="008D75E7" w:rsidP="00C2225B">
            <w:pPr>
              <w:widowControl/>
              <w:jc w:val="left"/>
              <w:rPr>
                <w:rFonts w:ascii="华文细黑" w:eastAsia="华文细黑" w:hAnsi="华文细黑" w:cs="Arial"/>
                <w:kern w:val="0"/>
                <w:szCs w:val="21"/>
              </w:rPr>
            </w:pPr>
          </w:p>
        </w:tc>
      </w:tr>
      <w:tr w:rsidR="008D75E7" w:rsidRPr="008D75E7" w:rsidTr="008D75E7">
        <w:trPr>
          <w:divId w:val="2113741559"/>
          <w:trHeight w:val="906"/>
          <w:jc w:val="center"/>
        </w:trPr>
        <w:tc>
          <w:tcPr>
            <w:tcW w:w="1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:rsidR="008D75E7" w:rsidRPr="008D75E7" w:rsidRDefault="008D75E7" w:rsidP="00C2225B">
            <w:pPr>
              <w:widowControl/>
              <w:jc w:val="center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8D75E7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中层</w:t>
            </w:r>
          </w:p>
          <w:p w:rsidR="008D75E7" w:rsidRPr="008D75E7" w:rsidRDefault="008D75E7" w:rsidP="00C2225B">
            <w:pPr>
              <w:widowControl/>
              <w:jc w:val="center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8D75E7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（-15~50</w:t>
            </w:r>
            <w:r w:rsidR="005D6C51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米</w:t>
            </w:r>
            <w:r w:rsidRPr="008D75E7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）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:rsidR="008D75E7" w:rsidRPr="008D75E7" w:rsidRDefault="008D75E7" w:rsidP="00C2225B">
            <w:pPr>
              <w:widowControl/>
              <w:jc w:val="center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8D75E7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-15~-30</w:t>
            </w:r>
            <w:r w:rsidR="005D6C51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米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:rsidR="008D75E7" w:rsidRPr="008D75E7" w:rsidRDefault="008D75E7" w:rsidP="00C2225B">
            <w:pPr>
              <w:widowControl/>
              <w:jc w:val="center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8D75E7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地铁车站、地铁隧道、地下道路、桩基</w:t>
            </w:r>
          </w:p>
        </w:tc>
        <w:tc>
          <w:tcPr>
            <w:tcW w:w="2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:rsidR="008D75E7" w:rsidRPr="008D75E7" w:rsidRDefault="008D75E7" w:rsidP="00C2225B">
            <w:pPr>
              <w:widowControl/>
              <w:jc w:val="center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8D75E7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桩基</w:t>
            </w:r>
          </w:p>
        </w:tc>
      </w:tr>
      <w:tr w:rsidR="008D75E7" w:rsidRPr="008D75E7" w:rsidTr="008D75E7">
        <w:trPr>
          <w:divId w:val="2113741559"/>
          <w:trHeight w:val="89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5E7" w:rsidRPr="008D75E7" w:rsidRDefault="008D75E7" w:rsidP="00C2225B">
            <w:pPr>
              <w:widowControl/>
              <w:jc w:val="left"/>
              <w:rPr>
                <w:rFonts w:ascii="华文细黑" w:eastAsia="华文细黑" w:hAnsi="华文细黑" w:cs="Arial"/>
                <w:kern w:val="0"/>
                <w:szCs w:val="21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:rsidR="008D75E7" w:rsidRPr="008D75E7" w:rsidRDefault="008D75E7" w:rsidP="00C2225B">
            <w:pPr>
              <w:widowControl/>
              <w:jc w:val="center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8D75E7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-30~-50</w:t>
            </w:r>
            <w:r w:rsidR="005D6C51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米</w:t>
            </w:r>
          </w:p>
        </w:tc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:rsidR="008D75E7" w:rsidRPr="008D75E7" w:rsidRDefault="008D75E7" w:rsidP="00C2225B">
            <w:pPr>
              <w:widowControl/>
              <w:jc w:val="center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8D75E7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桩基、城市物流系统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75E7" w:rsidRPr="008D75E7" w:rsidRDefault="008D75E7" w:rsidP="00C2225B">
            <w:pPr>
              <w:widowControl/>
              <w:jc w:val="left"/>
              <w:rPr>
                <w:rFonts w:ascii="华文细黑" w:eastAsia="华文细黑" w:hAnsi="华文细黑" w:cs="Arial"/>
                <w:kern w:val="0"/>
                <w:szCs w:val="21"/>
              </w:rPr>
            </w:pPr>
          </w:p>
        </w:tc>
      </w:tr>
      <w:tr w:rsidR="008D75E7" w:rsidRPr="008D75E7" w:rsidTr="008D75E7">
        <w:trPr>
          <w:divId w:val="2113741559"/>
          <w:trHeight w:val="949"/>
          <w:jc w:val="center"/>
        </w:trPr>
        <w:tc>
          <w:tcPr>
            <w:tcW w:w="2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:rsidR="008D75E7" w:rsidRPr="008D75E7" w:rsidRDefault="008D75E7" w:rsidP="00C2225B">
            <w:pPr>
              <w:widowControl/>
              <w:jc w:val="center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8D75E7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深层</w:t>
            </w:r>
          </w:p>
          <w:p w:rsidR="008D75E7" w:rsidRPr="008D75E7" w:rsidRDefault="008D75E7" w:rsidP="00C2225B">
            <w:pPr>
              <w:widowControl/>
              <w:jc w:val="center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8D75E7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（-50</w:t>
            </w:r>
            <w:r w:rsidR="005D6C51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米</w:t>
            </w:r>
            <w:r w:rsidRPr="008D75E7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以下）</w:t>
            </w:r>
          </w:p>
        </w:tc>
        <w:tc>
          <w:tcPr>
            <w:tcW w:w="5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  <w:hideMark/>
          </w:tcPr>
          <w:p w:rsidR="008D75E7" w:rsidRPr="008D75E7" w:rsidRDefault="008D75E7" w:rsidP="00C2225B">
            <w:pPr>
              <w:widowControl/>
              <w:jc w:val="center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8D75E7">
              <w:rPr>
                <w:rFonts w:ascii="华文细黑" w:eastAsia="华文细黑" w:hAnsi="华文细黑" w:cs="Arial" w:hint="eastAsia"/>
                <w:color w:val="000000"/>
                <w:kern w:val="24"/>
                <w:szCs w:val="21"/>
              </w:rPr>
              <w:t>数据储备、防灾避难、防洪调蓄等特殊功能，以及远期战略空间资源</w:t>
            </w:r>
          </w:p>
        </w:tc>
      </w:tr>
    </w:tbl>
    <w:p w:rsidR="00151CEA" w:rsidRPr="00CC1C49" w:rsidRDefault="00CC1C49" w:rsidP="00CC1C49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bookmarkStart w:id="7" w:name="_Toc53312013"/>
      <w:r>
        <w:rPr>
          <w:rFonts w:ascii="华文细黑" w:eastAsia="华文细黑" w:hAnsi="华文细黑" w:hint="eastAsia"/>
          <w:sz w:val="24"/>
          <w:szCs w:val="24"/>
        </w:rPr>
        <w:t>（2）</w:t>
      </w:r>
      <w:r w:rsidR="00151CEA" w:rsidRPr="00CC1C49">
        <w:rPr>
          <w:rFonts w:ascii="华文细黑" w:eastAsia="华文细黑" w:hAnsi="华文细黑"/>
          <w:sz w:val="24"/>
          <w:szCs w:val="24"/>
        </w:rPr>
        <w:t>地下空间竖向协调</w:t>
      </w:r>
      <w:bookmarkEnd w:id="7"/>
    </w:p>
    <w:p w:rsidR="008503B5" w:rsidRPr="00FB510D" w:rsidRDefault="008503B5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对地下空间各功能设施空间位置进行合理组织，当不同地下功能设施在相同的竖向深度范围内产生矛盾时，应以方便人行，提高土地使用效率，环境效益和社会综合效益最优为原则决定优先权，条件允许情况下可考虑统筹合建。</w:t>
      </w:r>
    </w:p>
    <w:p w:rsidR="008503B5" w:rsidRPr="00FB510D" w:rsidRDefault="008503B5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竖向避让一般还应遵循以下原则：</w:t>
      </w:r>
    </w:p>
    <w:p w:rsidR="008503B5" w:rsidRPr="00FB510D" w:rsidRDefault="008503B5" w:rsidP="00CC1C49">
      <w:pPr>
        <w:pStyle w:val="a3"/>
        <w:numPr>
          <w:ilvl w:val="0"/>
          <w:numId w:val="23"/>
        </w:numPr>
        <w:spacing w:line="360" w:lineRule="auto"/>
        <w:ind w:left="0" w:firstLineChars="0" w:firstLine="42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规划新建地下设施避让现状运营设施</w:t>
      </w:r>
      <w:r w:rsidR="00F13A71" w:rsidRPr="00FB510D">
        <w:rPr>
          <w:rFonts w:ascii="华文细黑" w:eastAsia="华文细黑" w:hAnsi="华文细黑" w:hint="eastAsia"/>
          <w:sz w:val="24"/>
          <w:szCs w:val="24"/>
        </w:rPr>
        <w:t>；</w:t>
      </w:r>
    </w:p>
    <w:p w:rsidR="008503B5" w:rsidRPr="00FB510D" w:rsidRDefault="008503B5" w:rsidP="00CC1C49">
      <w:pPr>
        <w:pStyle w:val="a3"/>
        <w:numPr>
          <w:ilvl w:val="0"/>
          <w:numId w:val="23"/>
        </w:numPr>
        <w:spacing w:line="360" w:lineRule="auto"/>
        <w:ind w:left="0" w:firstLineChars="0" w:firstLine="42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工程技术难度低的地下设施避让难度高的地下设施</w:t>
      </w:r>
      <w:r w:rsidR="00F13A71" w:rsidRPr="00FB510D">
        <w:rPr>
          <w:rFonts w:ascii="华文细黑" w:eastAsia="华文细黑" w:hAnsi="华文细黑" w:hint="eastAsia"/>
          <w:sz w:val="24"/>
          <w:szCs w:val="24"/>
        </w:rPr>
        <w:t>；</w:t>
      </w:r>
    </w:p>
    <w:p w:rsidR="008503B5" w:rsidRPr="00FB510D" w:rsidRDefault="008503B5" w:rsidP="00CC1C49">
      <w:pPr>
        <w:pStyle w:val="a3"/>
        <w:numPr>
          <w:ilvl w:val="0"/>
          <w:numId w:val="23"/>
        </w:numPr>
        <w:spacing w:line="360" w:lineRule="auto"/>
        <w:ind w:left="0" w:firstLineChars="0" w:firstLine="42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节点型设施避让系统型设施</w:t>
      </w:r>
      <w:r w:rsidR="00F13A71" w:rsidRPr="00FB510D">
        <w:rPr>
          <w:rFonts w:ascii="华文细黑" w:eastAsia="华文细黑" w:hAnsi="华文细黑" w:hint="eastAsia"/>
          <w:sz w:val="24"/>
          <w:szCs w:val="24"/>
        </w:rPr>
        <w:t>；</w:t>
      </w:r>
    </w:p>
    <w:p w:rsidR="008503B5" w:rsidRPr="00FB510D" w:rsidRDefault="008503B5" w:rsidP="00CC1C49">
      <w:pPr>
        <w:pStyle w:val="a3"/>
        <w:numPr>
          <w:ilvl w:val="0"/>
          <w:numId w:val="23"/>
        </w:numPr>
        <w:spacing w:line="360" w:lineRule="auto"/>
        <w:ind w:left="0" w:firstLineChars="0" w:firstLine="42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综合管廊避让人行连通</w:t>
      </w:r>
      <w:r w:rsidR="00F13A71" w:rsidRPr="00FB510D">
        <w:rPr>
          <w:rFonts w:ascii="华文细黑" w:eastAsia="华文细黑" w:hAnsi="华文细黑" w:hint="eastAsia"/>
          <w:sz w:val="24"/>
          <w:szCs w:val="24"/>
        </w:rPr>
        <w:t>；</w:t>
      </w:r>
    </w:p>
    <w:p w:rsidR="008503B5" w:rsidRPr="00FB510D" w:rsidRDefault="008503B5" w:rsidP="00CC1C49">
      <w:pPr>
        <w:pStyle w:val="a3"/>
        <w:numPr>
          <w:ilvl w:val="0"/>
          <w:numId w:val="23"/>
        </w:numPr>
        <w:spacing w:line="360" w:lineRule="auto"/>
        <w:ind w:left="0" w:firstLineChars="0" w:firstLine="42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地下小型设施避让大型设施</w:t>
      </w:r>
      <w:r w:rsidR="00F13A71" w:rsidRPr="00FB510D">
        <w:rPr>
          <w:rFonts w:ascii="华文细黑" w:eastAsia="华文细黑" w:hAnsi="华文细黑" w:hint="eastAsia"/>
          <w:sz w:val="24"/>
          <w:szCs w:val="24"/>
        </w:rPr>
        <w:t>；</w:t>
      </w:r>
    </w:p>
    <w:p w:rsidR="008503B5" w:rsidRPr="00FB510D" w:rsidRDefault="008503B5" w:rsidP="00CC1C49">
      <w:pPr>
        <w:pStyle w:val="a3"/>
        <w:numPr>
          <w:ilvl w:val="0"/>
          <w:numId w:val="23"/>
        </w:numPr>
        <w:spacing w:line="360" w:lineRule="auto"/>
        <w:ind w:left="0" w:firstLineChars="0" w:firstLine="42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压力管道避让重力管道</w:t>
      </w:r>
      <w:r w:rsidR="00F13A71" w:rsidRPr="00FB510D">
        <w:rPr>
          <w:rFonts w:ascii="华文细黑" w:eastAsia="华文细黑" w:hAnsi="华文细黑" w:hint="eastAsia"/>
          <w:sz w:val="24"/>
          <w:szCs w:val="24"/>
        </w:rPr>
        <w:t>；</w:t>
      </w:r>
    </w:p>
    <w:p w:rsidR="008503B5" w:rsidRPr="00FB510D" w:rsidRDefault="008503B5" w:rsidP="00CC1C49">
      <w:pPr>
        <w:pStyle w:val="a3"/>
        <w:numPr>
          <w:ilvl w:val="0"/>
          <w:numId w:val="23"/>
        </w:numPr>
        <w:spacing w:line="360" w:lineRule="auto"/>
        <w:ind w:left="0" w:firstLineChars="0" w:firstLine="42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市政管线避让交通隧道</w:t>
      </w:r>
      <w:r w:rsidR="00F13A71" w:rsidRPr="00FB510D">
        <w:rPr>
          <w:rFonts w:ascii="华文细黑" w:eastAsia="华文细黑" w:hAnsi="华文细黑" w:hint="eastAsia"/>
          <w:sz w:val="24"/>
          <w:szCs w:val="24"/>
        </w:rPr>
        <w:t>。</w:t>
      </w:r>
    </w:p>
    <w:p w:rsidR="00F13A71" w:rsidRPr="00FB510D" w:rsidRDefault="00F13A71" w:rsidP="00C2225B">
      <w:pPr>
        <w:pStyle w:val="2"/>
        <w:rPr>
          <w:rFonts w:ascii="华文细黑" w:eastAsia="华文细黑" w:hAnsi="华文细黑"/>
        </w:rPr>
      </w:pPr>
      <w:bookmarkStart w:id="8" w:name="_Toc55729014"/>
      <w:r w:rsidRPr="00FB510D">
        <w:rPr>
          <w:rFonts w:ascii="华文细黑" w:eastAsia="华文细黑" w:hAnsi="华文细黑"/>
        </w:rPr>
        <w:t>2.</w:t>
      </w:r>
      <w:r w:rsidR="002F5A47">
        <w:rPr>
          <w:rFonts w:ascii="华文细黑" w:eastAsia="华文细黑" w:hAnsi="华文细黑"/>
        </w:rPr>
        <w:t>4</w:t>
      </w:r>
      <w:r w:rsidRPr="00FB510D">
        <w:rPr>
          <w:rFonts w:ascii="华文细黑" w:eastAsia="华文细黑" w:hAnsi="华文细黑"/>
        </w:rPr>
        <w:t xml:space="preserve"> 地下空间分区管控</w:t>
      </w:r>
      <w:bookmarkEnd w:id="8"/>
    </w:p>
    <w:p w:rsidR="008503B5" w:rsidRPr="00FB510D" w:rsidRDefault="008503B5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依据</w:t>
      </w:r>
      <w:r w:rsidR="00627485">
        <w:rPr>
          <w:rFonts w:ascii="华文细黑" w:eastAsia="华文细黑" w:hAnsi="华文细黑" w:hint="eastAsia"/>
          <w:sz w:val="24"/>
          <w:szCs w:val="24"/>
        </w:rPr>
        <w:t>新片区</w:t>
      </w:r>
      <w:r w:rsidRPr="00FB510D">
        <w:rPr>
          <w:rFonts w:ascii="华文细黑" w:eastAsia="华文细黑" w:hAnsi="华文细黑" w:hint="eastAsia"/>
          <w:sz w:val="24"/>
          <w:szCs w:val="24"/>
        </w:rPr>
        <w:t>主城区城市空间功能结构，结合轨道交通布局，将</w:t>
      </w:r>
      <w:r w:rsidR="00D13B22">
        <w:rPr>
          <w:rFonts w:ascii="华文细黑" w:eastAsia="华文细黑" w:hAnsi="华文细黑" w:hint="eastAsia"/>
          <w:sz w:val="24"/>
          <w:szCs w:val="24"/>
        </w:rPr>
        <w:t>城市开发边界</w:t>
      </w:r>
      <w:r w:rsidR="00E60F25">
        <w:rPr>
          <w:rFonts w:ascii="华文细黑" w:eastAsia="华文细黑" w:hAnsi="华文细黑" w:hint="eastAsia"/>
          <w:sz w:val="24"/>
          <w:szCs w:val="24"/>
        </w:rPr>
        <w:t>内</w:t>
      </w:r>
      <w:r w:rsidRPr="00FB510D">
        <w:rPr>
          <w:rFonts w:ascii="华文细黑" w:eastAsia="华文细黑" w:hAnsi="华文细黑" w:hint="eastAsia"/>
          <w:sz w:val="24"/>
          <w:szCs w:val="24"/>
        </w:rPr>
        <w:t>城市地下空间开发利用分为</w:t>
      </w:r>
      <w:r w:rsidR="005B1D3C">
        <w:rPr>
          <w:rFonts w:ascii="华文细黑" w:eastAsia="华文细黑" w:hAnsi="华文细黑" w:hint="eastAsia"/>
          <w:sz w:val="24"/>
          <w:szCs w:val="24"/>
        </w:rPr>
        <w:t>核心功能区、重要功能区、</w:t>
      </w:r>
      <w:r w:rsidR="00161FE5">
        <w:rPr>
          <w:rFonts w:ascii="华文细黑" w:eastAsia="华文细黑" w:hAnsi="华文细黑" w:hint="eastAsia"/>
          <w:sz w:val="24"/>
          <w:szCs w:val="24"/>
        </w:rPr>
        <w:t>一般功能区</w:t>
      </w:r>
      <w:r w:rsidRPr="00FB510D">
        <w:rPr>
          <w:rFonts w:ascii="华文细黑" w:eastAsia="华文细黑" w:hAnsi="华文细黑" w:hint="eastAsia"/>
          <w:sz w:val="24"/>
          <w:szCs w:val="24"/>
        </w:rPr>
        <w:t>三大类</w:t>
      </w:r>
      <w:r w:rsidR="00503AC8">
        <w:rPr>
          <w:rFonts w:ascii="华文细黑" w:eastAsia="华文细黑" w:hAnsi="华文细黑" w:hint="eastAsia"/>
          <w:sz w:val="24"/>
          <w:szCs w:val="24"/>
        </w:rPr>
        <w:t>（参见附图）</w:t>
      </w:r>
      <w:r w:rsidR="00E60F25">
        <w:rPr>
          <w:rFonts w:ascii="华文细黑" w:eastAsia="华文细黑" w:hAnsi="华文细黑" w:hint="eastAsia"/>
          <w:sz w:val="24"/>
          <w:szCs w:val="24"/>
        </w:rPr>
        <w:t>，</w:t>
      </w:r>
      <w:r w:rsidR="00D13B22">
        <w:rPr>
          <w:rFonts w:ascii="华文细黑" w:eastAsia="华文细黑" w:hAnsi="华文细黑" w:hint="eastAsia"/>
          <w:sz w:val="24"/>
          <w:szCs w:val="24"/>
        </w:rPr>
        <w:t>城市开发边界外</w:t>
      </w:r>
      <w:r w:rsidR="00591127">
        <w:rPr>
          <w:rFonts w:ascii="华文细黑" w:eastAsia="华文细黑" w:hAnsi="华文细黑" w:hint="eastAsia"/>
          <w:sz w:val="24"/>
          <w:szCs w:val="24"/>
        </w:rPr>
        <w:t>地</w:t>
      </w:r>
      <w:proofErr w:type="gramStart"/>
      <w:r w:rsidR="00591127">
        <w:rPr>
          <w:rFonts w:ascii="华文细黑" w:eastAsia="华文细黑" w:hAnsi="华文细黑" w:hint="eastAsia"/>
          <w:sz w:val="24"/>
          <w:szCs w:val="24"/>
        </w:rPr>
        <w:t>下空间</w:t>
      </w:r>
      <w:proofErr w:type="gramEnd"/>
      <w:r w:rsidR="00E9623A">
        <w:rPr>
          <w:rFonts w:ascii="华文细黑" w:eastAsia="华文细黑" w:hAnsi="华文细黑" w:hint="eastAsia"/>
          <w:sz w:val="24"/>
          <w:szCs w:val="24"/>
        </w:rPr>
        <w:t>以</w:t>
      </w:r>
      <w:r w:rsidR="00591127">
        <w:rPr>
          <w:rFonts w:ascii="华文细黑" w:eastAsia="华文细黑" w:hAnsi="华文细黑" w:hint="eastAsia"/>
          <w:sz w:val="24"/>
          <w:szCs w:val="24"/>
        </w:rPr>
        <w:t>限制</w:t>
      </w:r>
      <w:r w:rsidR="007B6652">
        <w:rPr>
          <w:rFonts w:ascii="华文细黑" w:eastAsia="华文细黑" w:hAnsi="华文细黑" w:hint="eastAsia"/>
          <w:sz w:val="24"/>
          <w:szCs w:val="24"/>
        </w:rPr>
        <w:t>利用</w:t>
      </w:r>
      <w:r w:rsidR="00E9623A">
        <w:rPr>
          <w:rFonts w:ascii="华文细黑" w:eastAsia="华文细黑" w:hAnsi="华文细黑" w:hint="eastAsia"/>
          <w:sz w:val="24"/>
          <w:szCs w:val="24"/>
        </w:rPr>
        <w:t>为主</w:t>
      </w:r>
      <w:r w:rsidRPr="00FB510D">
        <w:rPr>
          <w:rFonts w:ascii="华文细黑" w:eastAsia="华文细黑" w:hAnsi="华文细黑" w:hint="eastAsia"/>
          <w:sz w:val="24"/>
          <w:szCs w:val="24"/>
        </w:rPr>
        <w:t>。</w:t>
      </w:r>
    </w:p>
    <w:p w:rsidR="00F13A71" w:rsidRDefault="00D93342" w:rsidP="00D93342">
      <w:pPr>
        <w:spacing w:line="360" w:lineRule="auto"/>
        <w:ind w:firstLine="480"/>
        <w:rPr>
          <w:rFonts w:ascii="华文细黑" w:eastAsia="华文细黑" w:hAnsi="华文细黑"/>
          <w:sz w:val="24"/>
          <w:szCs w:val="24"/>
        </w:rPr>
      </w:pPr>
      <w:r w:rsidRPr="00D93342">
        <w:rPr>
          <w:rFonts w:ascii="华文细黑" w:eastAsia="华文细黑" w:hAnsi="华文细黑"/>
          <w:sz w:val="24"/>
          <w:szCs w:val="24"/>
        </w:rPr>
        <w:t>（1</w:t>
      </w:r>
      <w:r>
        <w:rPr>
          <w:rFonts w:ascii="华文细黑" w:eastAsia="华文细黑" w:hAnsi="华文细黑"/>
          <w:sz w:val="24"/>
          <w:szCs w:val="24"/>
        </w:rPr>
        <w:t>）</w:t>
      </w:r>
      <w:r w:rsidR="00F13A71" w:rsidRPr="00D93342">
        <w:rPr>
          <w:rFonts w:ascii="华文细黑" w:eastAsia="华文细黑" w:hAnsi="华文细黑"/>
          <w:sz w:val="24"/>
          <w:szCs w:val="24"/>
        </w:rPr>
        <w:t>核心功能区：包括</w:t>
      </w:r>
      <w:r w:rsidR="00627485" w:rsidRPr="00D93342">
        <w:rPr>
          <w:rFonts w:ascii="华文细黑" w:eastAsia="华文细黑" w:hAnsi="华文细黑" w:hint="eastAsia"/>
          <w:sz w:val="24"/>
          <w:szCs w:val="24"/>
        </w:rPr>
        <w:t>中央活动区、地区中心及其他商业办公集中地区，</w:t>
      </w:r>
      <w:r w:rsidR="00F13A71" w:rsidRPr="00D93342">
        <w:rPr>
          <w:rFonts w:ascii="华文细黑" w:eastAsia="华文细黑" w:hAnsi="华文细黑"/>
          <w:sz w:val="24"/>
          <w:szCs w:val="24"/>
        </w:rPr>
        <w:t>地下轨道交通枢纽站点半径500米范围区域</w:t>
      </w:r>
      <w:r>
        <w:rPr>
          <w:rFonts w:ascii="华文细黑" w:eastAsia="华文细黑" w:hAnsi="华文细黑" w:hint="eastAsia"/>
          <w:sz w:val="24"/>
          <w:szCs w:val="24"/>
        </w:rPr>
        <w:t>，主要指标参见附表</w:t>
      </w:r>
      <w:r w:rsidR="00593212" w:rsidRPr="00D93342">
        <w:rPr>
          <w:rFonts w:ascii="华文细黑" w:eastAsia="华文细黑" w:hAnsi="华文细黑" w:hint="eastAsia"/>
          <w:sz w:val="24"/>
          <w:szCs w:val="24"/>
        </w:rPr>
        <w:t>。</w:t>
      </w:r>
    </w:p>
    <w:p w:rsidR="00D93342" w:rsidRPr="00D93342" w:rsidRDefault="00D93342" w:rsidP="00D93342">
      <w:pPr>
        <w:spacing w:line="360" w:lineRule="auto"/>
        <w:ind w:firstLine="480"/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 w:hint="eastAsia"/>
          <w:sz w:val="24"/>
          <w:szCs w:val="24"/>
        </w:rPr>
        <w:t>规划</w:t>
      </w:r>
      <w:r w:rsidR="00D13B22">
        <w:rPr>
          <w:rFonts w:ascii="华文细黑" w:eastAsia="华文细黑" w:hAnsi="华文细黑" w:hint="eastAsia"/>
          <w:sz w:val="24"/>
          <w:szCs w:val="24"/>
        </w:rPr>
        <w:t>指引</w:t>
      </w:r>
      <w:r>
        <w:rPr>
          <w:rFonts w:ascii="华文细黑" w:eastAsia="华文细黑" w:hAnsi="华文细黑" w:hint="eastAsia"/>
          <w:sz w:val="24"/>
          <w:szCs w:val="24"/>
        </w:rPr>
        <w:t>：</w:t>
      </w:r>
    </w:p>
    <w:p w:rsidR="00D93342" w:rsidRPr="00D93342" w:rsidRDefault="00D93342" w:rsidP="00D93342">
      <w:pPr>
        <w:pStyle w:val="a3"/>
        <w:numPr>
          <w:ilvl w:val="0"/>
          <w:numId w:val="27"/>
        </w:numPr>
        <w:spacing w:line="360" w:lineRule="auto"/>
        <w:ind w:firstLineChars="0"/>
        <w:rPr>
          <w:rFonts w:ascii="华文细黑" w:eastAsia="华文细黑" w:hAnsi="华文细黑"/>
          <w:sz w:val="24"/>
          <w:szCs w:val="24"/>
        </w:rPr>
      </w:pPr>
      <w:r w:rsidRPr="00D93342">
        <w:rPr>
          <w:rFonts w:ascii="华文细黑" w:eastAsia="华文细黑" w:hAnsi="华文细黑" w:hint="eastAsia"/>
          <w:sz w:val="24"/>
          <w:szCs w:val="24"/>
        </w:rPr>
        <w:t>强调地下空间发展的系统性、整体性和协调性；</w:t>
      </w:r>
    </w:p>
    <w:p w:rsidR="00D93342" w:rsidRPr="00D93342" w:rsidRDefault="00D93342" w:rsidP="00D93342">
      <w:pPr>
        <w:pStyle w:val="a3"/>
        <w:numPr>
          <w:ilvl w:val="0"/>
          <w:numId w:val="27"/>
        </w:numPr>
        <w:spacing w:line="360" w:lineRule="auto"/>
        <w:ind w:firstLineChars="0"/>
        <w:rPr>
          <w:rFonts w:ascii="华文细黑" w:eastAsia="华文细黑" w:hAnsi="华文细黑"/>
          <w:sz w:val="24"/>
          <w:szCs w:val="24"/>
        </w:rPr>
      </w:pPr>
      <w:r w:rsidRPr="00D93342">
        <w:rPr>
          <w:rFonts w:ascii="华文细黑" w:eastAsia="华文细黑" w:hAnsi="华文细黑" w:hint="eastAsia"/>
          <w:sz w:val="24"/>
          <w:szCs w:val="24"/>
        </w:rPr>
        <w:t>鼓励核心区跨地块、跨街坊整体开发地下空间，整体开发范围不宜跨越主次干路，宜为</w:t>
      </w:r>
      <w:r w:rsidRPr="00D93342">
        <w:rPr>
          <w:rFonts w:ascii="华文细黑" w:eastAsia="华文细黑" w:hAnsi="华文细黑"/>
          <w:sz w:val="24"/>
          <w:szCs w:val="24"/>
        </w:rPr>
        <w:t>10~50公顷；</w:t>
      </w:r>
    </w:p>
    <w:p w:rsidR="00D93342" w:rsidRPr="00D93342" w:rsidRDefault="00D93342" w:rsidP="00D93342">
      <w:pPr>
        <w:pStyle w:val="a3"/>
        <w:numPr>
          <w:ilvl w:val="0"/>
          <w:numId w:val="27"/>
        </w:numPr>
        <w:spacing w:line="360" w:lineRule="auto"/>
        <w:ind w:firstLineChars="0"/>
        <w:rPr>
          <w:rFonts w:ascii="华文细黑" w:eastAsia="华文细黑" w:hAnsi="华文细黑"/>
          <w:sz w:val="24"/>
          <w:szCs w:val="24"/>
        </w:rPr>
      </w:pPr>
      <w:r w:rsidRPr="00D93342">
        <w:rPr>
          <w:rFonts w:ascii="华文细黑" w:eastAsia="华文细黑" w:hAnsi="华文细黑" w:hint="eastAsia"/>
          <w:sz w:val="24"/>
          <w:szCs w:val="24"/>
        </w:rPr>
        <w:t>鼓励地下空间统一规划、统一建设、统一运营、统一管理；</w:t>
      </w:r>
    </w:p>
    <w:p w:rsidR="00D93342" w:rsidRPr="00D93342" w:rsidRDefault="00D93342" w:rsidP="00D93342">
      <w:pPr>
        <w:pStyle w:val="a3"/>
        <w:numPr>
          <w:ilvl w:val="0"/>
          <w:numId w:val="27"/>
        </w:numPr>
        <w:spacing w:line="360" w:lineRule="auto"/>
        <w:ind w:firstLineChars="0"/>
        <w:rPr>
          <w:rFonts w:ascii="华文细黑" w:eastAsia="华文细黑" w:hAnsi="华文细黑"/>
          <w:sz w:val="24"/>
          <w:szCs w:val="24"/>
        </w:rPr>
      </w:pPr>
      <w:r w:rsidRPr="00D93342">
        <w:rPr>
          <w:rFonts w:ascii="华文细黑" w:eastAsia="华文细黑" w:hAnsi="华文细黑" w:hint="eastAsia"/>
          <w:sz w:val="24"/>
          <w:szCs w:val="24"/>
        </w:rPr>
        <w:t>重点开展地下轨道交通枢纽地区地上地下一体化综合开发；</w:t>
      </w:r>
    </w:p>
    <w:p w:rsidR="00D93342" w:rsidRPr="00D93342" w:rsidRDefault="00D93342" w:rsidP="00D93342">
      <w:pPr>
        <w:pStyle w:val="a3"/>
        <w:numPr>
          <w:ilvl w:val="0"/>
          <w:numId w:val="27"/>
        </w:numPr>
        <w:spacing w:line="360" w:lineRule="auto"/>
        <w:ind w:firstLineChars="0"/>
        <w:rPr>
          <w:rFonts w:ascii="华文细黑" w:eastAsia="华文细黑" w:hAnsi="华文细黑"/>
          <w:sz w:val="24"/>
          <w:szCs w:val="24"/>
        </w:rPr>
      </w:pPr>
      <w:r w:rsidRPr="00D93342">
        <w:rPr>
          <w:rFonts w:ascii="华文细黑" w:eastAsia="华文细黑" w:hAnsi="华文细黑" w:hint="eastAsia"/>
          <w:sz w:val="24"/>
          <w:szCs w:val="24"/>
        </w:rPr>
        <w:t>地上地下功能立体协调，相互补充，合理分配，适当提高地下空间开发强度和地下公共</w:t>
      </w:r>
      <w:r w:rsidR="00161FE5">
        <w:rPr>
          <w:rFonts w:ascii="华文细黑" w:eastAsia="华文细黑" w:hAnsi="华文细黑" w:hint="eastAsia"/>
          <w:sz w:val="24"/>
          <w:szCs w:val="24"/>
        </w:rPr>
        <w:t>活动</w:t>
      </w:r>
      <w:r w:rsidRPr="00D93342">
        <w:rPr>
          <w:rFonts w:ascii="华文细黑" w:eastAsia="华文细黑" w:hAnsi="华文细黑" w:hint="eastAsia"/>
          <w:sz w:val="24"/>
          <w:szCs w:val="24"/>
        </w:rPr>
        <w:t>功能</w:t>
      </w:r>
      <w:r w:rsidR="00161FE5">
        <w:rPr>
          <w:rFonts w:ascii="华文细黑" w:eastAsia="华文细黑" w:hAnsi="华文细黑" w:hint="eastAsia"/>
          <w:sz w:val="24"/>
          <w:szCs w:val="24"/>
        </w:rPr>
        <w:t>和公共空间</w:t>
      </w:r>
      <w:r w:rsidRPr="00D93342">
        <w:rPr>
          <w:rFonts w:ascii="华文细黑" w:eastAsia="华文细黑" w:hAnsi="华文细黑" w:hint="eastAsia"/>
          <w:sz w:val="24"/>
          <w:szCs w:val="24"/>
        </w:rPr>
        <w:t>比例；</w:t>
      </w:r>
    </w:p>
    <w:p w:rsidR="00D93342" w:rsidRPr="00D93342" w:rsidRDefault="00D93342" w:rsidP="00D93342">
      <w:pPr>
        <w:pStyle w:val="a3"/>
        <w:numPr>
          <w:ilvl w:val="0"/>
          <w:numId w:val="27"/>
        </w:numPr>
        <w:spacing w:line="360" w:lineRule="auto"/>
        <w:ind w:firstLineChars="0"/>
        <w:rPr>
          <w:rFonts w:ascii="华文细黑" w:eastAsia="华文细黑" w:hAnsi="华文细黑"/>
          <w:sz w:val="24"/>
          <w:szCs w:val="24"/>
        </w:rPr>
      </w:pPr>
      <w:r w:rsidRPr="00D93342">
        <w:rPr>
          <w:rFonts w:ascii="华文细黑" w:eastAsia="华文细黑" w:hAnsi="华文细黑" w:hint="eastAsia"/>
          <w:sz w:val="24"/>
          <w:szCs w:val="24"/>
        </w:rPr>
        <w:t>区域地下人行交通、车行交通、管线管廊、综合能源、人防工程实行系统化布局和组织；</w:t>
      </w:r>
    </w:p>
    <w:p w:rsidR="00D93342" w:rsidRPr="00D93342" w:rsidRDefault="00D93342" w:rsidP="00D93342">
      <w:pPr>
        <w:pStyle w:val="a3"/>
        <w:numPr>
          <w:ilvl w:val="0"/>
          <w:numId w:val="27"/>
        </w:numPr>
        <w:spacing w:line="360" w:lineRule="auto"/>
        <w:ind w:firstLineChars="0"/>
        <w:rPr>
          <w:rFonts w:ascii="华文细黑" w:eastAsia="华文细黑" w:hAnsi="华文细黑"/>
          <w:sz w:val="24"/>
          <w:szCs w:val="24"/>
        </w:rPr>
      </w:pPr>
      <w:r w:rsidRPr="00D93342">
        <w:rPr>
          <w:rFonts w:ascii="华文细黑" w:eastAsia="华文细黑" w:hAnsi="华文细黑" w:hint="eastAsia"/>
          <w:sz w:val="24"/>
          <w:szCs w:val="24"/>
        </w:rPr>
        <w:t>鼓励应用新技术，积极发展地下智慧物流系统、垃圾自动收运系统、智能管理系统。</w:t>
      </w:r>
    </w:p>
    <w:p w:rsidR="00F13A71" w:rsidRDefault="00F13A71" w:rsidP="00D93342">
      <w:pPr>
        <w:spacing w:line="360" w:lineRule="auto"/>
        <w:ind w:firstLine="480"/>
        <w:rPr>
          <w:rFonts w:ascii="华文细黑" w:eastAsia="华文细黑" w:hAnsi="华文细黑"/>
          <w:sz w:val="24"/>
          <w:szCs w:val="24"/>
        </w:rPr>
      </w:pPr>
      <w:r w:rsidRPr="00F13A71">
        <w:rPr>
          <w:rFonts w:ascii="华文细黑" w:eastAsia="华文细黑" w:hAnsi="华文细黑" w:hint="eastAsia"/>
          <w:sz w:val="24"/>
          <w:szCs w:val="24"/>
        </w:rPr>
        <w:t>（</w:t>
      </w:r>
      <w:r w:rsidRPr="00F13A71">
        <w:rPr>
          <w:rFonts w:ascii="华文细黑" w:eastAsia="华文细黑" w:hAnsi="华文细黑"/>
          <w:sz w:val="24"/>
          <w:szCs w:val="24"/>
        </w:rPr>
        <w:t>2）重要功能区：</w:t>
      </w:r>
      <w:r w:rsidR="00D13B22">
        <w:rPr>
          <w:rFonts w:ascii="华文细黑" w:eastAsia="华文细黑" w:hAnsi="华文细黑" w:hint="eastAsia"/>
          <w:sz w:val="24"/>
          <w:szCs w:val="24"/>
        </w:rPr>
        <w:t>以</w:t>
      </w:r>
      <w:r w:rsidR="00047522">
        <w:rPr>
          <w:rFonts w:ascii="华文细黑" w:eastAsia="华文细黑" w:hAnsi="华文细黑" w:hint="eastAsia"/>
          <w:sz w:val="24"/>
          <w:szCs w:val="24"/>
        </w:rPr>
        <w:t>居住社区、科研园区</w:t>
      </w:r>
      <w:r w:rsidRPr="00F13A71">
        <w:rPr>
          <w:rFonts w:ascii="华文细黑" w:eastAsia="华文细黑" w:hAnsi="华文细黑"/>
          <w:sz w:val="24"/>
          <w:szCs w:val="24"/>
        </w:rPr>
        <w:t>为主的区域</w:t>
      </w:r>
      <w:r w:rsidR="00D93342">
        <w:rPr>
          <w:rFonts w:ascii="华文细黑" w:eastAsia="华文细黑" w:hAnsi="华文细黑" w:hint="eastAsia"/>
          <w:sz w:val="24"/>
          <w:szCs w:val="24"/>
        </w:rPr>
        <w:t>，主要指标参见附表</w:t>
      </w:r>
      <w:r w:rsidR="00593212">
        <w:rPr>
          <w:rFonts w:ascii="华文细黑" w:eastAsia="华文细黑" w:hAnsi="华文细黑" w:hint="eastAsia"/>
          <w:sz w:val="24"/>
          <w:szCs w:val="24"/>
        </w:rPr>
        <w:t>。</w:t>
      </w:r>
    </w:p>
    <w:p w:rsidR="00D93342" w:rsidRDefault="00D93342" w:rsidP="00D93342">
      <w:pPr>
        <w:spacing w:line="360" w:lineRule="auto"/>
        <w:ind w:firstLine="480"/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 w:hint="eastAsia"/>
          <w:sz w:val="24"/>
          <w:szCs w:val="24"/>
        </w:rPr>
        <w:t>规划指引：</w:t>
      </w:r>
    </w:p>
    <w:p w:rsidR="00D93342" w:rsidRPr="00D93342" w:rsidRDefault="00D93342" w:rsidP="00D93342">
      <w:pPr>
        <w:pStyle w:val="a3"/>
        <w:numPr>
          <w:ilvl w:val="0"/>
          <w:numId w:val="28"/>
        </w:numPr>
        <w:spacing w:line="360" w:lineRule="auto"/>
        <w:ind w:firstLineChars="0"/>
        <w:rPr>
          <w:rFonts w:ascii="华文细黑" w:eastAsia="华文细黑" w:hAnsi="华文细黑"/>
          <w:sz w:val="24"/>
          <w:szCs w:val="24"/>
        </w:rPr>
      </w:pPr>
      <w:r w:rsidRPr="00D93342">
        <w:rPr>
          <w:rFonts w:ascii="华文细黑" w:eastAsia="华文细黑" w:hAnsi="华文细黑" w:hint="eastAsia"/>
          <w:sz w:val="24"/>
          <w:szCs w:val="24"/>
        </w:rPr>
        <w:t>重点加强片区内地</w:t>
      </w:r>
      <w:proofErr w:type="gramStart"/>
      <w:r w:rsidRPr="00D93342">
        <w:rPr>
          <w:rFonts w:ascii="华文细黑" w:eastAsia="华文细黑" w:hAnsi="华文细黑" w:hint="eastAsia"/>
          <w:sz w:val="24"/>
          <w:szCs w:val="24"/>
        </w:rPr>
        <w:t>下空间</w:t>
      </w:r>
      <w:proofErr w:type="gramEnd"/>
      <w:r w:rsidRPr="00D93342">
        <w:rPr>
          <w:rFonts w:ascii="华文细黑" w:eastAsia="华文细黑" w:hAnsi="华文细黑" w:hint="eastAsia"/>
          <w:sz w:val="24"/>
          <w:szCs w:val="24"/>
        </w:rPr>
        <w:t>互联互通；</w:t>
      </w:r>
    </w:p>
    <w:p w:rsidR="00D93342" w:rsidRPr="00D93342" w:rsidRDefault="00D93342" w:rsidP="00D93342">
      <w:pPr>
        <w:pStyle w:val="a3"/>
        <w:numPr>
          <w:ilvl w:val="0"/>
          <w:numId w:val="28"/>
        </w:numPr>
        <w:spacing w:line="360" w:lineRule="auto"/>
        <w:ind w:firstLineChars="0"/>
        <w:rPr>
          <w:rFonts w:ascii="华文细黑" w:eastAsia="华文细黑" w:hAnsi="华文细黑"/>
          <w:sz w:val="24"/>
          <w:szCs w:val="24"/>
        </w:rPr>
      </w:pPr>
      <w:r w:rsidRPr="00D93342">
        <w:rPr>
          <w:rFonts w:ascii="华文细黑" w:eastAsia="华文细黑" w:hAnsi="华文细黑" w:hint="eastAsia"/>
          <w:sz w:val="24"/>
          <w:szCs w:val="24"/>
        </w:rPr>
        <w:t>相邻地下空间应积极建立人行连通、车行连通和人防工程连通；</w:t>
      </w:r>
    </w:p>
    <w:p w:rsidR="00D93342" w:rsidRPr="00D93342" w:rsidRDefault="00D93342" w:rsidP="00D93342">
      <w:pPr>
        <w:pStyle w:val="a3"/>
        <w:numPr>
          <w:ilvl w:val="0"/>
          <w:numId w:val="28"/>
        </w:numPr>
        <w:spacing w:line="360" w:lineRule="auto"/>
        <w:ind w:firstLineChars="0"/>
        <w:rPr>
          <w:rFonts w:ascii="华文细黑" w:eastAsia="华文细黑" w:hAnsi="华文细黑"/>
          <w:sz w:val="24"/>
          <w:szCs w:val="24"/>
        </w:rPr>
      </w:pPr>
      <w:proofErr w:type="gramStart"/>
      <w:r w:rsidRPr="00D93342">
        <w:rPr>
          <w:rFonts w:ascii="华文细黑" w:eastAsia="华文细黑" w:hAnsi="华文细黑" w:hint="eastAsia"/>
          <w:sz w:val="24"/>
          <w:szCs w:val="24"/>
        </w:rPr>
        <w:t>区域内地</w:t>
      </w:r>
      <w:proofErr w:type="gramEnd"/>
      <w:r w:rsidRPr="00D93342">
        <w:rPr>
          <w:rFonts w:ascii="华文细黑" w:eastAsia="华文细黑" w:hAnsi="华文细黑" w:hint="eastAsia"/>
          <w:sz w:val="24"/>
          <w:szCs w:val="24"/>
        </w:rPr>
        <w:t>上地下功能立体协调，复合开发；</w:t>
      </w:r>
    </w:p>
    <w:p w:rsidR="00D93342" w:rsidRPr="00D93342" w:rsidRDefault="00D93342" w:rsidP="00D93342">
      <w:pPr>
        <w:pStyle w:val="a3"/>
        <w:numPr>
          <w:ilvl w:val="0"/>
          <w:numId w:val="28"/>
        </w:numPr>
        <w:spacing w:line="360" w:lineRule="auto"/>
        <w:ind w:firstLineChars="0"/>
        <w:rPr>
          <w:rFonts w:ascii="华文细黑" w:eastAsia="华文细黑" w:hAnsi="华文细黑"/>
          <w:sz w:val="24"/>
          <w:szCs w:val="24"/>
        </w:rPr>
      </w:pPr>
      <w:r w:rsidRPr="00D93342">
        <w:rPr>
          <w:rFonts w:ascii="华文细黑" w:eastAsia="华文细黑" w:hAnsi="华文细黑" w:hint="eastAsia"/>
          <w:sz w:val="24"/>
          <w:szCs w:val="24"/>
        </w:rPr>
        <w:t>在满足停车、人防等配建功能的基础上，适度发展地下公共</w:t>
      </w:r>
      <w:r w:rsidR="004266D3">
        <w:rPr>
          <w:rFonts w:ascii="华文细黑" w:eastAsia="华文细黑" w:hAnsi="华文细黑" w:hint="eastAsia"/>
          <w:sz w:val="24"/>
          <w:szCs w:val="24"/>
        </w:rPr>
        <w:t>活动和公共</w:t>
      </w:r>
      <w:r w:rsidRPr="00D93342">
        <w:rPr>
          <w:rFonts w:ascii="华文细黑" w:eastAsia="华文细黑" w:hAnsi="华文细黑" w:hint="eastAsia"/>
          <w:sz w:val="24"/>
          <w:szCs w:val="24"/>
        </w:rPr>
        <w:t>服务配套设施。</w:t>
      </w:r>
    </w:p>
    <w:p w:rsidR="00442F58" w:rsidRDefault="00F13A71" w:rsidP="00D93342">
      <w:pPr>
        <w:spacing w:line="360" w:lineRule="auto"/>
        <w:ind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（</w:t>
      </w:r>
      <w:r w:rsidRPr="00FB510D">
        <w:rPr>
          <w:rFonts w:ascii="华文细黑" w:eastAsia="华文细黑" w:hAnsi="华文细黑"/>
          <w:sz w:val="24"/>
          <w:szCs w:val="24"/>
        </w:rPr>
        <w:t>3）一般功能区：主要以</w:t>
      </w:r>
      <w:r w:rsidR="00047522">
        <w:rPr>
          <w:rFonts w:ascii="华文细黑" w:eastAsia="华文细黑" w:hAnsi="华文细黑" w:hint="eastAsia"/>
          <w:sz w:val="24"/>
          <w:szCs w:val="24"/>
        </w:rPr>
        <w:t>产业园区</w:t>
      </w:r>
      <w:r w:rsidRPr="00FB510D">
        <w:rPr>
          <w:rFonts w:ascii="华文细黑" w:eastAsia="华文细黑" w:hAnsi="华文细黑"/>
          <w:sz w:val="24"/>
          <w:szCs w:val="24"/>
        </w:rPr>
        <w:t>和公园绿地用地为主的区域</w:t>
      </w:r>
      <w:r w:rsidR="00D93342">
        <w:rPr>
          <w:rFonts w:ascii="华文细黑" w:eastAsia="华文细黑" w:hAnsi="华文细黑" w:hint="eastAsia"/>
          <w:sz w:val="24"/>
          <w:szCs w:val="24"/>
        </w:rPr>
        <w:t>，主要指标参见附表</w:t>
      </w:r>
      <w:r w:rsidRPr="00FB510D">
        <w:rPr>
          <w:rFonts w:ascii="华文细黑" w:eastAsia="华文细黑" w:hAnsi="华文细黑"/>
          <w:sz w:val="24"/>
          <w:szCs w:val="24"/>
        </w:rPr>
        <w:t>。</w:t>
      </w:r>
    </w:p>
    <w:p w:rsidR="00D93342" w:rsidRDefault="00D93342" w:rsidP="00D93342">
      <w:pPr>
        <w:spacing w:line="360" w:lineRule="auto"/>
        <w:ind w:firstLine="480"/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 w:hint="eastAsia"/>
          <w:sz w:val="24"/>
          <w:szCs w:val="24"/>
        </w:rPr>
        <w:t>规划指引：</w:t>
      </w:r>
    </w:p>
    <w:p w:rsidR="00D93342" w:rsidRPr="00D93342" w:rsidRDefault="00D93342" w:rsidP="00D93342">
      <w:pPr>
        <w:pStyle w:val="a3"/>
        <w:numPr>
          <w:ilvl w:val="0"/>
          <w:numId w:val="29"/>
        </w:numPr>
        <w:spacing w:line="360" w:lineRule="auto"/>
        <w:ind w:firstLineChars="0"/>
        <w:rPr>
          <w:rFonts w:ascii="华文细黑" w:eastAsia="华文细黑" w:hAnsi="华文细黑"/>
          <w:sz w:val="24"/>
          <w:szCs w:val="24"/>
        </w:rPr>
      </w:pPr>
      <w:r w:rsidRPr="00D93342">
        <w:rPr>
          <w:rFonts w:ascii="华文细黑" w:eastAsia="华文细黑" w:hAnsi="华文细黑" w:hint="eastAsia"/>
          <w:sz w:val="24"/>
          <w:szCs w:val="24"/>
        </w:rPr>
        <w:t>与地上功能相协调，满足地块地下停车、人防工程配建功能设施；</w:t>
      </w:r>
    </w:p>
    <w:p w:rsidR="00D93342" w:rsidRPr="00D93342" w:rsidRDefault="00D93342" w:rsidP="00D93342">
      <w:pPr>
        <w:pStyle w:val="a3"/>
        <w:numPr>
          <w:ilvl w:val="0"/>
          <w:numId w:val="29"/>
        </w:numPr>
        <w:spacing w:line="360" w:lineRule="auto"/>
        <w:ind w:firstLineChars="0"/>
        <w:rPr>
          <w:rFonts w:ascii="华文细黑" w:eastAsia="华文细黑" w:hAnsi="华文细黑"/>
          <w:sz w:val="24"/>
          <w:szCs w:val="24"/>
        </w:rPr>
      </w:pPr>
      <w:r w:rsidRPr="00D93342">
        <w:rPr>
          <w:rFonts w:ascii="华文细黑" w:eastAsia="华文细黑" w:hAnsi="华文细黑" w:hint="eastAsia"/>
          <w:sz w:val="24"/>
          <w:szCs w:val="24"/>
        </w:rPr>
        <w:t>适度控制地下空间开发强度；</w:t>
      </w:r>
    </w:p>
    <w:p w:rsidR="00D93342" w:rsidRPr="00D93342" w:rsidRDefault="00D93342" w:rsidP="00D93342">
      <w:pPr>
        <w:pStyle w:val="a3"/>
        <w:numPr>
          <w:ilvl w:val="0"/>
          <w:numId w:val="29"/>
        </w:numPr>
        <w:spacing w:line="360" w:lineRule="auto"/>
        <w:ind w:firstLineChars="0"/>
        <w:rPr>
          <w:rFonts w:ascii="华文细黑" w:eastAsia="华文细黑" w:hAnsi="华文细黑"/>
          <w:sz w:val="24"/>
          <w:szCs w:val="24"/>
        </w:rPr>
      </w:pPr>
      <w:r w:rsidRPr="00D93342">
        <w:rPr>
          <w:rFonts w:ascii="华文细黑" w:eastAsia="华文细黑" w:hAnsi="华文细黑" w:hint="eastAsia"/>
          <w:sz w:val="24"/>
          <w:szCs w:val="24"/>
        </w:rPr>
        <w:t>鼓励具有联系需求的相邻地下空间建立连通</w:t>
      </w:r>
      <w:r>
        <w:rPr>
          <w:rFonts w:ascii="华文细黑" w:eastAsia="华文细黑" w:hAnsi="华文细黑" w:hint="eastAsia"/>
          <w:sz w:val="24"/>
          <w:szCs w:val="24"/>
        </w:rPr>
        <w:t>；</w:t>
      </w:r>
    </w:p>
    <w:p w:rsidR="00D93342" w:rsidRPr="00D93342" w:rsidRDefault="00D93342" w:rsidP="00D93342">
      <w:pPr>
        <w:pStyle w:val="a3"/>
        <w:numPr>
          <w:ilvl w:val="0"/>
          <w:numId w:val="29"/>
        </w:numPr>
        <w:spacing w:line="360" w:lineRule="auto"/>
        <w:ind w:firstLineChars="0"/>
        <w:rPr>
          <w:rFonts w:ascii="华文细黑" w:eastAsia="华文细黑" w:hAnsi="华文细黑"/>
          <w:sz w:val="24"/>
          <w:szCs w:val="24"/>
        </w:rPr>
      </w:pPr>
      <w:r w:rsidRPr="00D93342">
        <w:rPr>
          <w:rFonts w:ascii="华文细黑" w:eastAsia="华文细黑" w:hAnsi="华文细黑" w:hint="eastAsia"/>
          <w:sz w:val="24"/>
          <w:szCs w:val="24"/>
        </w:rPr>
        <w:t>鼓励结合区位条件较好、开发需求较高的公共绿地适当布置地下公共停车</w:t>
      </w:r>
      <w:r w:rsidR="00D13B22">
        <w:rPr>
          <w:rFonts w:ascii="华文细黑" w:eastAsia="华文细黑" w:hAnsi="华文细黑" w:hint="eastAsia"/>
          <w:sz w:val="24"/>
          <w:szCs w:val="24"/>
        </w:rPr>
        <w:t>、地下能源</w:t>
      </w:r>
      <w:r w:rsidRPr="00D93342">
        <w:rPr>
          <w:rFonts w:ascii="华文细黑" w:eastAsia="华文细黑" w:hAnsi="华文细黑" w:hint="eastAsia"/>
          <w:sz w:val="24"/>
          <w:szCs w:val="24"/>
        </w:rPr>
        <w:t>等服务设施，并不得影响地面植物生长和地下水环境。</w:t>
      </w:r>
    </w:p>
    <w:p w:rsidR="00E238C0" w:rsidRPr="00503AC8" w:rsidRDefault="00FB510D" w:rsidP="00C2225B">
      <w:pPr>
        <w:pStyle w:val="1"/>
        <w:rPr>
          <w:rFonts w:ascii="华文细黑" w:eastAsia="华文细黑" w:hAnsi="华文细黑"/>
        </w:rPr>
      </w:pPr>
      <w:bookmarkStart w:id="9" w:name="_Toc55729015"/>
      <w:r w:rsidRPr="00503AC8">
        <w:rPr>
          <w:rFonts w:ascii="华文细黑" w:eastAsia="华文细黑" w:hAnsi="华文细黑"/>
        </w:rPr>
        <w:t>3</w:t>
      </w:r>
      <w:r w:rsidR="00E238C0" w:rsidRPr="00503AC8">
        <w:rPr>
          <w:rFonts w:ascii="华文细黑" w:eastAsia="华文细黑" w:hAnsi="华文细黑" w:hint="eastAsia"/>
        </w:rPr>
        <w:t>系统分类引导</w:t>
      </w:r>
      <w:bookmarkEnd w:id="9"/>
    </w:p>
    <w:p w:rsidR="00E238C0" w:rsidRPr="00503AC8" w:rsidRDefault="00FB510D" w:rsidP="00C2225B">
      <w:pPr>
        <w:pStyle w:val="2"/>
        <w:rPr>
          <w:rFonts w:ascii="华文细黑" w:eastAsia="华文细黑" w:hAnsi="华文细黑"/>
        </w:rPr>
      </w:pPr>
      <w:bookmarkStart w:id="10" w:name="_Toc55729016"/>
      <w:r w:rsidRPr="00503AC8">
        <w:rPr>
          <w:rFonts w:ascii="华文细黑" w:eastAsia="华文细黑" w:hAnsi="华文细黑"/>
        </w:rPr>
        <w:t>3</w:t>
      </w:r>
      <w:r w:rsidR="00FB576D" w:rsidRPr="00503AC8">
        <w:rPr>
          <w:rFonts w:ascii="华文细黑" w:eastAsia="华文细黑" w:hAnsi="华文细黑"/>
        </w:rPr>
        <w:t>.1</w:t>
      </w:r>
      <w:r w:rsidR="00FB576D" w:rsidRPr="00503AC8">
        <w:rPr>
          <w:rFonts w:ascii="华文细黑" w:eastAsia="华文细黑" w:hAnsi="华文细黑" w:hint="eastAsia"/>
        </w:rPr>
        <w:t>轨道交通系统</w:t>
      </w:r>
      <w:bookmarkEnd w:id="10"/>
    </w:p>
    <w:p w:rsidR="00FB576D" w:rsidRPr="00FB510D" w:rsidRDefault="00073274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 w:hint="eastAsia"/>
          <w:sz w:val="24"/>
          <w:szCs w:val="24"/>
        </w:rPr>
        <w:t>根据国土空间总体规划，结合轨道交通专项研究</w:t>
      </w:r>
      <w:r w:rsidR="00FB576D" w:rsidRPr="00FB510D">
        <w:rPr>
          <w:rFonts w:ascii="华文细黑" w:eastAsia="华文细黑" w:hAnsi="华文细黑" w:hint="eastAsia"/>
          <w:sz w:val="24"/>
          <w:szCs w:val="24"/>
        </w:rPr>
        <w:t>，对规划区范围（特别是地下空间核心</w:t>
      </w:r>
      <w:r>
        <w:rPr>
          <w:rFonts w:ascii="华文细黑" w:eastAsia="华文细黑" w:hAnsi="华文细黑" w:hint="eastAsia"/>
          <w:sz w:val="24"/>
          <w:szCs w:val="24"/>
        </w:rPr>
        <w:t>功能</w:t>
      </w:r>
      <w:r w:rsidR="00FB576D" w:rsidRPr="00FB510D">
        <w:rPr>
          <w:rFonts w:ascii="华文细黑" w:eastAsia="华文细黑" w:hAnsi="华文细黑" w:hint="eastAsia"/>
          <w:sz w:val="24"/>
          <w:szCs w:val="24"/>
        </w:rPr>
        <w:t>区）内</w:t>
      </w:r>
      <w:r w:rsidR="00CC3886">
        <w:rPr>
          <w:rFonts w:ascii="华文细黑" w:eastAsia="华文细黑" w:hAnsi="华文细黑" w:hint="eastAsia"/>
          <w:sz w:val="24"/>
          <w:szCs w:val="24"/>
        </w:rPr>
        <w:t>轨道交通沿线</w:t>
      </w:r>
      <w:r w:rsidR="00FB576D" w:rsidRPr="00FB510D">
        <w:rPr>
          <w:rFonts w:ascii="华文细黑" w:eastAsia="华文细黑" w:hAnsi="华文细黑" w:hint="eastAsia"/>
          <w:sz w:val="24"/>
          <w:szCs w:val="24"/>
        </w:rPr>
        <w:t>地下空间预留控制，</w:t>
      </w:r>
      <w:r w:rsidR="00CC3886">
        <w:rPr>
          <w:rFonts w:ascii="华文细黑" w:eastAsia="华文细黑" w:hAnsi="华文细黑" w:hint="eastAsia"/>
          <w:sz w:val="24"/>
          <w:szCs w:val="24"/>
        </w:rPr>
        <w:t>预控范围内</w:t>
      </w:r>
      <w:r w:rsidR="00FB576D" w:rsidRPr="00FB510D">
        <w:rPr>
          <w:rFonts w:ascii="华文细黑" w:eastAsia="华文细黑" w:hAnsi="华文细黑" w:hint="eastAsia"/>
          <w:sz w:val="24"/>
          <w:szCs w:val="24"/>
        </w:rPr>
        <w:t>除市政管线外不宜建设其他地下空间功能，必须建设的应同步预留好轨道交通建设条件。</w:t>
      </w:r>
    </w:p>
    <w:p w:rsidR="007718A8" w:rsidRDefault="007718A8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7718A8">
        <w:rPr>
          <w:rFonts w:ascii="华文细黑" w:eastAsia="华文细黑" w:hAnsi="华文细黑" w:hint="eastAsia"/>
          <w:sz w:val="24"/>
          <w:szCs w:val="24"/>
        </w:rPr>
        <w:t>集约、节约、复合利用土地和空间资源，打造以城市轨道交通站点为核心、高效便捷的立体交通系统，推进城市轨道交通站点周边地区地下、地面、地上空间的一体化利用，实现交通功能与城市生活服务功能的有机融合。</w:t>
      </w:r>
    </w:p>
    <w:p w:rsidR="007718A8" w:rsidRPr="007718A8" w:rsidRDefault="007718A8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站点核心区地下空间应充分开发，宜开发2~</w:t>
      </w:r>
      <w:r w:rsidR="00073274">
        <w:rPr>
          <w:rFonts w:ascii="华文细黑" w:eastAsia="华文细黑" w:hAnsi="华文细黑"/>
          <w:sz w:val="24"/>
          <w:szCs w:val="24"/>
        </w:rPr>
        <w:t>3</w:t>
      </w:r>
      <w:r w:rsidRPr="00FB510D">
        <w:rPr>
          <w:rFonts w:ascii="华文细黑" w:eastAsia="华文细黑" w:hAnsi="华文细黑" w:hint="eastAsia"/>
          <w:sz w:val="24"/>
          <w:szCs w:val="24"/>
        </w:rPr>
        <w:t>层，与站厅层直接连通的地下空间宜布局交通换乘、地下商业、步行通道，站厅连通层以下地下空间宜布局地下停车场等功能。</w:t>
      </w:r>
      <w:r w:rsidRPr="00FB510D">
        <w:rPr>
          <w:rFonts w:ascii="华文细黑" w:eastAsia="华文细黑" w:hAnsi="华文细黑" w:hint="eastAsia"/>
          <w:sz w:val="24"/>
          <w:szCs w:val="24"/>
        </w:rPr>
        <w:tab/>
      </w:r>
    </w:p>
    <w:p w:rsidR="00FB576D" w:rsidRPr="00503AC8" w:rsidRDefault="00FB510D" w:rsidP="00C2225B">
      <w:pPr>
        <w:pStyle w:val="2"/>
        <w:rPr>
          <w:rFonts w:ascii="华文细黑" w:eastAsia="华文细黑" w:hAnsi="华文细黑"/>
        </w:rPr>
      </w:pPr>
      <w:bookmarkStart w:id="11" w:name="_Toc55729017"/>
      <w:r w:rsidRPr="00503AC8">
        <w:rPr>
          <w:rFonts w:ascii="华文细黑" w:eastAsia="华文细黑" w:hAnsi="华文细黑"/>
        </w:rPr>
        <w:t>3</w:t>
      </w:r>
      <w:r w:rsidR="00FB576D" w:rsidRPr="00503AC8">
        <w:rPr>
          <w:rFonts w:ascii="华文细黑" w:eastAsia="华文细黑" w:hAnsi="华文细黑"/>
        </w:rPr>
        <w:t>.2</w:t>
      </w:r>
      <w:r w:rsidR="00FB576D" w:rsidRPr="00503AC8">
        <w:rPr>
          <w:rFonts w:ascii="华文细黑" w:eastAsia="华文细黑" w:hAnsi="华文细黑" w:hint="eastAsia"/>
        </w:rPr>
        <w:t>地下人行系统</w:t>
      </w:r>
      <w:bookmarkEnd w:id="11"/>
    </w:p>
    <w:p w:rsidR="00FB576D" w:rsidRPr="00FB510D" w:rsidRDefault="00FB576D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在站点周边构建立体化、系统化、人性化的步行系统，与周边地下空间、开敞空间连点成线，连线成网。</w:t>
      </w:r>
      <w:r w:rsidR="00E60F25">
        <w:rPr>
          <w:rFonts w:ascii="华文细黑" w:eastAsia="华文细黑" w:hAnsi="华文细黑" w:hint="eastAsia"/>
          <w:sz w:val="24"/>
          <w:szCs w:val="24"/>
        </w:rPr>
        <w:t>通过地下人行系统整合地下交通换乘网络，提高交通出行效率和品质，结合地下人行系统</w:t>
      </w:r>
      <w:r w:rsidR="00D13B22">
        <w:rPr>
          <w:rFonts w:ascii="华文细黑" w:eastAsia="华文细黑" w:hAnsi="华文细黑" w:hint="eastAsia"/>
          <w:sz w:val="24"/>
          <w:szCs w:val="24"/>
        </w:rPr>
        <w:t>，</w:t>
      </w:r>
      <w:r w:rsidR="00E60F25">
        <w:rPr>
          <w:rFonts w:ascii="华文细黑" w:eastAsia="华文细黑" w:hAnsi="华文细黑" w:hint="eastAsia"/>
          <w:sz w:val="24"/>
          <w:szCs w:val="24"/>
        </w:rPr>
        <w:t>鼓励提高地下公共</w:t>
      </w:r>
      <w:r w:rsidR="00D13B22">
        <w:rPr>
          <w:rFonts w:ascii="华文细黑" w:eastAsia="华文细黑" w:hAnsi="华文细黑" w:hint="eastAsia"/>
          <w:sz w:val="24"/>
          <w:szCs w:val="24"/>
        </w:rPr>
        <w:t>空间</w:t>
      </w:r>
      <w:r w:rsidR="00E60F25">
        <w:rPr>
          <w:rFonts w:ascii="华文细黑" w:eastAsia="华文细黑" w:hAnsi="华文细黑" w:hint="eastAsia"/>
          <w:sz w:val="24"/>
          <w:szCs w:val="24"/>
        </w:rPr>
        <w:t>的密度和种类，促进功能业态复合。</w:t>
      </w:r>
    </w:p>
    <w:p w:rsidR="00FB576D" w:rsidRPr="00FB510D" w:rsidRDefault="00FB576D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地下</w:t>
      </w:r>
      <w:r w:rsidR="00E60F25">
        <w:rPr>
          <w:rFonts w:ascii="华文细黑" w:eastAsia="华文细黑" w:hAnsi="华文细黑" w:hint="eastAsia"/>
          <w:sz w:val="24"/>
          <w:szCs w:val="24"/>
        </w:rPr>
        <w:t>人行</w:t>
      </w:r>
      <w:r w:rsidRPr="00FB510D">
        <w:rPr>
          <w:rFonts w:ascii="华文细黑" w:eastAsia="华文细黑" w:hAnsi="华文细黑" w:hint="eastAsia"/>
          <w:sz w:val="24"/>
          <w:szCs w:val="24"/>
        </w:rPr>
        <w:t>连通系统由地下</w:t>
      </w:r>
      <w:r w:rsidR="00E60F25">
        <w:rPr>
          <w:rFonts w:ascii="华文细黑" w:eastAsia="华文细黑" w:hAnsi="华文细黑" w:hint="eastAsia"/>
          <w:sz w:val="24"/>
          <w:szCs w:val="24"/>
        </w:rPr>
        <w:t>人行</w:t>
      </w:r>
      <w:r w:rsidRPr="00FB510D">
        <w:rPr>
          <w:rFonts w:ascii="华文细黑" w:eastAsia="华文细黑" w:hAnsi="华文细黑" w:hint="eastAsia"/>
          <w:sz w:val="24"/>
          <w:szCs w:val="24"/>
        </w:rPr>
        <w:t>主通道和地下</w:t>
      </w:r>
      <w:r w:rsidR="00E60F25">
        <w:rPr>
          <w:rFonts w:ascii="华文细黑" w:eastAsia="华文细黑" w:hAnsi="华文细黑" w:hint="eastAsia"/>
          <w:sz w:val="24"/>
          <w:szCs w:val="24"/>
        </w:rPr>
        <w:t>人行</w:t>
      </w:r>
      <w:r w:rsidRPr="00FB510D">
        <w:rPr>
          <w:rFonts w:ascii="华文细黑" w:eastAsia="华文细黑" w:hAnsi="华文细黑" w:hint="eastAsia"/>
          <w:sz w:val="24"/>
          <w:szCs w:val="24"/>
        </w:rPr>
        <w:t>次通道构成。地下主通道沿主要人流方向设置，宜布局于</w:t>
      </w:r>
      <w:r w:rsidR="00D13B22">
        <w:rPr>
          <w:rFonts w:ascii="华文细黑" w:eastAsia="华文细黑" w:hAnsi="华文细黑" w:hint="eastAsia"/>
          <w:sz w:val="24"/>
          <w:szCs w:val="24"/>
        </w:rPr>
        <w:t>道路、绿地等</w:t>
      </w:r>
      <w:r w:rsidRPr="00FB510D">
        <w:rPr>
          <w:rFonts w:ascii="华文细黑" w:eastAsia="华文细黑" w:hAnsi="华文细黑" w:hint="eastAsia"/>
          <w:sz w:val="24"/>
          <w:szCs w:val="24"/>
        </w:rPr>
        <w:t>公共用地内，保障公共开放和连续性。地下次通道包括独立出入口通道和地块通道，</w:t>
      </w:r>
      <w:r w:rsidR="00D13B22">
        <w:rPr>
          <w:rFonts w:ascii="华文细黑" w:eastAsia="华文细黑" w:hAnsi="华文细黑" w:hint="eastAsia"/>
          <w:sz w:val="24"/>
          <w:szCs w:val="24"/>
        </w:rPr>
        <w:t>可</w:t>
      </w:r>
      <w:r w:rsidRPr="00FB510D">
        <w:rPr>
          <w:rFonts w:ascii="华文细黑" w:eastAsia="华文细黑" w:hAnsi="华文细黑" w:hint="eastAsia"/>
          <w:sz w:val="24"/>
          <w:szCs w:val="24"/>
        </w:rPr>
        <w:t>布局于公共</w:t>
      </w:r>
      <w:r w:rsidR="00D13B22">
        <w:rPr>
          <w:rFonts w:ascii="华文细黑" w:eastAsia="华文细黑" w:hAnsi="华文细黑" w:hint="eastAsia"/>
          <w:sz w:val="24"/>
          <w:szCs w:val="24"/>
        </w:rPr>
        <w:t>用地</w:t>
      </w:r>
      <w:r w:rsidRPr="00FB510D">
        <w:rPr>
          <w:rFonts w:ascii="华文细黑" w:eastAsia="华文细黑" w:hAnsi="华文细黑" w:hint="eastAsia"/>
          <w:sz w:val="24"/>
          <w:szCs w:val="24"/>
        </w:rPr>
        <w:t>或</w:t>
      </w:r>
      <w:r w:rsidR="00D13B22">
        <w:rPr>
          <w:rFonts w:ascii="华文细黑" w:eastAsia="华文细黑" w:hAnsi="华文细黑" w:hint="eastAsia"/>
          <w:sz w:val="24"/>
          <w:szCs w:val="24"/>
        </w:rPr>
        <w:t>出让开发用地</w:t>
      </w:r>
      <w:r w:rsidRPr="00FB510D">
        <w:rPr>
          <w:rFonts w:ascii="华文细黑" w:eastAsia="华文细黑" w:hAnsi="华文细黑" w:hint="eastAsia"/>
          <w:sz w:val="24"/>
          <w:szCs w:val="24"/>
        </w:rPr>
        <w:t>范围内，实现与周边功能一体化衔接。</w:t>
      </w:r>
    </w:p>
    <w:p w:rsidR="00FB576D" w:rsidRPr="00FB510D" w:rsidRDefault="00E60F25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 w:hint="eastAsia"/>
          <w:sz w:val="24"/>
          <w:szCs w:val="24"/>
        </w:rPr>
        <w:t>地下人行系统应考虑安全、连续、便捷、舒适，</w:t>
      </w:r>
      <w:r w:rsidRPr="00D9148E">
        <w:rPr>
          <w:rFonts w:ascii="华文细黑" w:eastAsia="华文细黑" w:hAnsi="华文细黑" w:hint="eastAsia"/>
          <w:sz w:val="24"/>
          <w:szCs w:val="24"/>
        </w:rPr>
        <w:t>轨道站点周边地下人行网络设计应与交通衔接设施、周边建筑一体化设计，创造宜人的慢行环境</w:t>
      </w:r>
      <w:r w:rsidR="00FB576D" w:rsidRPr="00FB510D">
        <w:rPr>
          <w:rFonts w:ascii="华文细黑" w:eastAsia="华文细黑" w:hAnsi="华文细黑" w:hint="eastAsia"/>
          <w:sz w:val="24"/>
          <w:szCs w:val="24"/>
        </w:rPr>
        <w:t>。</w:t>
      </w:r>
    </w:p>
    <w:p w:rsidR="00FB576D" w:rsidRPr="00503AC8" w:rsidRDefault="00FB510D" w:rsidP="00C2225B">
      <w:pPr>
        <w:pStyle w:val="2"/>
        <w:rPr>
          <w:rFonts w:ascii="华文细黑" w:eastAsia="华文细黑" w:hAnsi="华文细黑"/>
        </w:rPr>
      </w:pPr>
      <w:bookmarkStart w:id="12" w:name="_Toc55729018"/>
      <w:r w:rsidRPr="00503AC8">
        <w:rPr>
          <w:rFonts w:ascii="华文细黑" w:eastAsia="华文细黑" w:hAnsi="华文细黑"/>
        </w:rPr>
        <w:t>3</w:t>
      </w:r>
      <w:r w:rsidR="00FB576D" w:rsidRPr="00503AC8">
        <w:rPr>
          <w:rFonts w:ascii="华文细黑" w:eastAsia="华文细黑" w:hAnsi="华文细黑"/>
        </w:rPr>
        <w:t>.3</w:t>
      </w:r>
      <w:r w:rsidR="00FB576D" w:rsidRPr="00503AC8">
        <w:rPr>
          <w:rFonts w:ascii="华文细黑" w:eastAsia="华文细黑" w:hAnsi="华文细黑" w:hint="eastAsia"/>
        </w:rPr>
        <w:t>地下</w:t>
      </w:r>
      <w:r w:rsidR="00E60F25" w:rsidRPr="00503AC8">
        <w:rPr>
          <w:rFonts w:ascii="华文细黑" w:eastAsia="华文细黑" w:hAnsi="华文细黑" w:hint="eastAsia"/>
        </w:rPr>
        <w:t>停车</w:t>
      </w:r>
      <w:r w:rsidR="00FB576D" w:rsidRPr="00503AC8">
        <w:rPr>
          <w:rFonts w:ascii="华文细黑" w:eastAsia="华文细黑" w:hAnsi="华文细黑" w:hint="eastAsia"/>
        </w:rPr>
        <w:t>系统</w:t>
      </w:r>
      <w:bookmarkEnd w:id="12"/>
    </w:p>
    <w:p w:rsidR="00FB576D" w:rsidRPr="00FB510D" w:rsidRDefault="00D13B22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 w:hint="eastAsia"/>
          <w:sz w:val="24"/>
          <w:szCs w:val="24"/>
        </w:rPr>
        <w:t>临港新片区静态交通</w:t>
      </w:r>
      <w:r w:rsidR="00FB576D" w:rsidRPr="00FB510D">
        <w:rPr>
          <w:rFonts w:ascii="华文细黑" w:eastAsia="华文细黑" w:hAnsi="华文细黑" w:hint="eastAsia"/>
          <w:sz w:val="24"/>
          <w:szCs w:val="24"/>
        </w:rPr>
        <w:t>规划形成“配建为主、公共为辅、道路为补</w:t>
      </w:r>
      <w:r>
        <w:rPr>
          <w:rFonts w:ascii="华文细黑" w:eastAsia="华文细黑" w:hAnsi="华文细黑" w:hint="eastAsia"/>
          <w:sz w:val="24"/>
          <w:szCs w:val="24"/>
        </w:rPr>
        <w:t>充</w:t>
      </w:r>
      <w:r w:rsidR="00FB576D" w:rsidRPr="00FB510D">
        <w:rPr>
          <w:rFonts w:ascii="华文细黑" w:eastAsia="华文细黑" w:hAnsi="华文细黑" w:hint="eastAsia"/>
          <w:sz w:val="24"/>
          <w:szCs w:val="24"/>
        </w:rPr>
        <w:t>”的停车供给结构，精准供给扩大增量，高效使用优化存量，采取差别化的停车供给及需求管理政策。</w:t>
      </w:r>
    </w:p>
    <w:p w:rsidR="00FB576D" w:rsidRPr="00FB510D" w:rsidRDefault="00D13B22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 w:hint="eastAsia"/>
          <w:sz w:val="24"/>
          <w:szCs w:val="24"/>
        </w:rPr>
        <w:t>地下停车系统中</w:t>
      </w:r>
      <w:r w:rsidR="00FB576D" w:rsidRPr="00FB510D">
        <w:rPr>
          <w:rFonts w:ascii="华文细黑" w:eastAsia="华文细黑" w:hAnsi="华文细黑" w:hint="eastAsia"/>
          <w:sz w:val="24"/>
          <w:szCs w:val="24"/>
        </w:rPr>
        <w:t>商办地块以片区车库以能通则通、应连尽连为导向，高强度开发核心区研究设置地下车库联络道，实施片区配建停车资源统筹平衡和高效进出。</w:t>
      </w:r>
    </w:p>
    <w:p w:rsidR="00FB576D" w:rsidRPr="00FB510D" w:rsidRDefault="00FB576D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结合滴水湖</w:t>
      </w:r>
      <w:proofErr w:type="gramStart"/>
      <w:r w:rsidR="00D13B22">
        <w:rPr>
          <w:rFonts w:ascii="华文细黑" w:eastAsia="华文细黑" w:hAnsi="华文细黑" w:hint="eastAsia"/>
          <w:sz w:val="24"/>
          <w:szCs w:val="24"/>
        </w:rPr>
        <w:t>一</w:t>
      </w:r>
      <w:proofErr w:type="gramEnd"/>
      <w:r w:rsidRPr="00FB510D">
        <w:rPr>
          <w:rFonts w:ascii="华文细黑" w:eastAsia="华文细黑" w:hAnsi="华文细黑" w:hint="eastAsia"/>
          <w:sz w:val="24"/>
          <w:szCs w:val="24"/>
        </w:rPr>
        <w:t>环带和</w:t>
      </w:r>
      <w:r w:rsidR="00D13B22">
        <w:rPr>
          <w:rFonts w:ascii="华文细黑" w:eastAsia="华文细黑" w:hAnsi="华文细黑" w:hint="eastAsia"/>
          <w:sz w:val="24"/>
          <w:szCs w:val="24"/>
        </w:rPr>
        <w:t>二</w:t>
      </w:r>
      <w:r w:rsidRPr="00FB510D">
        <w:rPr>
          <w:rFonts w:ascii="华文细黑" w:eastAsia="华文细黑" w:hAnsi="华文细黑" w:hint="eastAsia"/>
          <w:sz w:val="24"/>
          <w:szCs w:val="24"/>
        </w:rPr>
        <w:t>环带公共绿地等部分用地，研究设置地下或半地下公共停车库，增加停车供给，地下公共停车库应与人防工程相结合。结合新建轨道交通枢纽，</w:t>
      </w:r>
      <w:r w:rsidR="00D13B22">
        <w:rPr>
          <w:rFonts w:ascii="华文细黑" w:eastAsia="华文细黑" w:hAnsi="华文细黑" w:hint="eastAsia"/>
          <w:sz w:val="24"/>
          <w:szCs w:val="24"/>
        </w:rPr>
        <w:t>可</w:t>
      </w:r>
      <w:r w:rsidRPr="00FB510D">
        <w:rPr>
          <w:rFonts w:ascii="华文细黑" w:eastAsia="华文细黑" w:hAnsi="华文细黑" w:hint="eastAsia"/>
          <w:sz w:val="24"/>
          <w:szCs w:val="24"/>
        </w:rPr>
        <w:t>规划设置</w:t>
      </w:r>
      <w:r w:rsidRPr="00FB510D">
        <w:rPr>
          <w:rFonts w:ascii="华文细黑" w:eastAsia="华文细黑" w:hAnsi="华文细黑"/>
          <w:sz w:val="24"/>
          <w:szCs w:val="24"/>
        </w:rPr>
        <w:t>P+R</w:t>
      </w:r>
      <w:r w:rsidR="00124AA5">
        <w:rPr>
          <w:rFonts w:ascii="华文细黑" w:eastAsia="华文细黑" w:hAnsi="华文细黑" w:hint="eastAsia"/>
          <w:sz w:val="24"/>
          <w:szCs w:val="24"/>
        </w:rPr>
        <w:t>地下</w:t>
      </w:r>
      <w:r w:rsidRPr="00FB510D">
        <w:rPr>
          <w:rFonts w:ascii="华文细黑" w:eastAsia="华文细黑" w:hAnsi="华文细黑"/>
          <w:sz w:val="24"/>
          <w:szCs w:val="24"/>
        </w:rPr>
        <w:t>换乘设施，</w:t>
      </w:r>
      <w:r w:rsidR="00D13B22">
        <w:rPr>
          <w:rFonts w:ascii="华文细黑" w:eastAsia="华文细黑" w:hAnsi="华文细黑" w:hint="eastAsia"/>
          <w:sz w:val="24"/>
          <w:szCs w:val="24"/>
        </w:rPr>
        <w:t>并</w:t>
      </w:r>
      <w:r w:rsidRPr="00FB510D">
        <w:rPr>
          <w:rFonts w:ascii="华文细黑" w:eastAsia="华文细黑" w:hAnsi="华文细黑"/>
          <w:sz w:val="24"/>
          <w:szCs w:val="24"/>
        </w:rPr>
        <w:t>提供一定停车收费优惠政策。</w:t>
      </w:r>
    </w:p>
    <w:p w:rsidR="00FB576D" w:rsidRPr="00FB510D" w:rsidRDefault="00FB576D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坚持</w:t>
      </w:r>
      <w:r w:rsidR="00124AA5">
        <w:rPr>
          <w:rFonts w:ascii="华文细黑" w:eastAsia="华文细黑" w:hAnsi="华文细黑" w:hint="eastAsia"/>
          <w:sz w:val="24"/>
          <w:szCs w:val="24"/>
        </w:rPr>
        <w:t>地下</w:t>
      </w:r>
      <w:r w:rsidRPr="00FB510D">
        <w:rPr>
          <w:rFonts w:ascii="华文细黑" w:eastAsia="华文细黑" w:hAnsi="华文细黑" w:hint="eastAsia"/>
          <w:sz w:val="24"/>
          <w:szCs w:val="24"/>
        </w:rPr>
        <w:t>停车资源共享，推进公共建筑配建停车库对外开放，释放存量车位资源，</w:t>
      </w:r>
      <w:r w:rsidRPr="00FB510D">
        <w:rPr>
          <w:rFonts w:ascii="华文细黑" w:eastAsia="华文细黑" w:hAnsi="华文细黑"/>
          <w:sz w:val="24"/>
          <w:szCs w:val="24"/>
        </w:rPr>
        <w:t>新建项目在土地出让中落实开放要求，建立区域停车资源共享利用协调制度。</w:t>
      </w:r>
    </w:p>
    <w:p w:rsidR="00FB576D" w:rsidRPr="00FB510D" w:rsidRDefault="00151354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 w:hint="eastAsia"/>
          <w:sz w:val="24"/>
          <w:szCs w:val="24"/>
        </w:rPr>
        <w:t>核心功能区地下车库鼓励相互连通，系统化组织，</w:t>
      </w:r>
      <w:r w:rsidR="00E97368" w:rsidRPr="00E97368">
        <w:rPr>
          <w:rFonts w:ascii="华文细黑" w:eastAsia="华文细黑" w:hAnsi="华文细黑" w:hint="eastAsia"/>
          <w:sz w:val="24"/>
          <w:szCs w:val="24"/>
        </w:rPr>
        <w:t>实现静态交通与动态交通的</w:t>
      </w:r>
      <w:r w:rsidR="00E97368">
        <w:rPr>
          <w:rFonts w:ascii="华文细黑" w:eastAsia="华文细黑" w:hAnsi="华文细黑" w:hint="eastAsia"/>
          <w:sz w:val="24"/>
          <w:szCs w:val="24"/>
        </w:rPr>
        <w:t>快捷</w:t>
      </w:r>
      <w:r w:rsidR="00E97368" w:rsidRPr="00E97368">
        <w:rPr>
          <w:rFonts w:ascii="华文细黑" w:eastAsia="华文细黑" w:hAnsi="华文细黑" w:hint="eastAsia"/>
          <w:sz w:val="24"/>
          <w:szCs w:val="24"/>
        </w:rPr>
        <w:t>转换</w:t>
      </w:r>
      <w:r w:rsidR="00E97368">
        <w:rPr>
          <w:rFonts w:ascii="华文细黑" w:eastAsia="华文细黑" w:hAnsi="华文细黑" w:hint="eastAsia"/>
          <w:sz w:val="24"/>
          <w:szCs w:val="24"/>
        </w:rPr>
        <w:t>，有利于促进停车资源共享、提高停车进出效率、改善地面交通环境。</w:t>
      </w:r>
    </w:p>
    <w:p w:rsidR="00FB576D" w:rsidRPr="00503AC8" w:rsidRDefault="00FB510D" w:rsidP="00C2225B">
      <w:pPr>
        <w:pStyle w:val="2"/>
        <w:rPr>
          <w:rFonts w:ascii="华文细黑" w:eastAsia="华文细黑" w:hAnsi="华文细黑"/>
        </w:rPr>
      </w:pPr>
      <w:bookmarkStart w:id="13" w:name="_Toc55729019"/>
      <w:r w:rsidRPr="00503AC8">
        <w:rPr>
          <w:rFonts w:ascii="华文细黑" w:eastAsia="华文细黑" w:hAnsi="华文细黑"/>
        </w:rPr>
        <w:t>3</w:t>
      </w:r>
      <w:r w:rsidR="00FB576D" w:rsidRPr="00503AC8">
        <w:rPr>
          <w:rFonts w:ascii="华文细黑" w:eastAsia="华文细黑" w:hAnsi="华文细黑"/>
        </w:rPr>
        <w:t>.4</w:t>
      </w:r>
      <w:r w:rsidR="00FB576D" w:rsidRPr="00503AC8">
        <w:rPr>
          <w:rFonts w:ascii="华文细黑" w:eastAsia="华文细黑" w:hAnsi="华文细黑" w:hint="eastAsia"/>
        </w:rPr>
        <w:t>地下公共空间</w:t>
      </w:r>
      <w:bookmarkEnd w:id="13"/>
    </w:p>
    <w:p w:rsidR="00FB576D" w:rsidRPr="00FB510D" w:rsidRDefault="008D6E39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 w:hint="eastAsia"/>
          <w:sz w:val="24"/>
          <w:szCs w:val="24"/>
        </w:rPr>
        <w:t>本导则中</w:t>
      </w:r>
      <w:r w:rsidR="00FB576D" w:rsidRPr="00FB510D">
        <w:rPr>
          <w:rFonts w:ascii="华文细黑" w:eastAsia="华文细黑" w:hAnsi="华文细黑" w:hint="eastAsia"/>
          <w:sz w:val="24"/>
          <w:szCs w:val="24"/>
        </w:rPr>
        <w:t>的地下公共空间是具有公共性的城市地下空间，包括</w:t>
      </w:r>
      <w:r>
        <w:rPr>
          <w:rFonts w:ascii="华文细黑" w:eastAsia="华文细黑" w:hAnsi="华文细黑" w:hint="eastAsia"/>
          <w:sz w:val="24"/>
          <w:szCs w:val="24"/>
        </w:rPr>
        <w:t>地下公共通道、下沉广场、</w:t>
      </w:r>
      <w:r w:rsidR="00911D9B">
        <w:rPr>
          <w:rFonts w:ascii="华文细黑" w:eastAsia="华文细黑" w:hAnsi="华文细黑" w:hint="eastAsia"/>
          <w:sz w:val="24"/>
          <w:szCs w:val="24"/>
        </w:rPr>
        <w:t>中庭、</w:t>
      </w:r>
      <w:r w:rsidR="00FB576D" w:rsidRPr="00FB510D">
        <w:rPr>
          <w:rFonts w:ascii="华文细黑" w:eastAsia="华文细黑" w:hAnsi="华文细黑" w:hint="eastAsia"/>
          <w:sz w:val="24"/>
          <w:szCs w:val="24"/>
        </w:rPr>
        <w:t>地下</w:t>
      </w:r>
      <w:r>
        <w:rPr>
          <w:rFonts w:ascii="华文细黑" w:eastAsia="华文细黑" w:hAnsi="华文细黑" w:hint="eastAsia"/>
          <w:sz w:val="24"/>
          <w:szCs w:val="24"/>
        </w:rPr>
        <w:t>商业</w:t>
      </w:r>
      <w:r w:rsidR="00FB576D" w:rsidRPr="00FB510D">
        <w:rPr>
          <w:rFonts w:ascii="华文细黑" w:eastAsia="华文细黑" w:hAnsi="华文细黑" w:hint="eastAsia"/>
          <w:sz w:val="24"/>
          <w:szCs w:val="24"/>
        </w:rPr>
        <w:t>、</w:t>
      </w:r>
      <w:r>
        <w:rPr>
          <w:rFonts w:ascii="华文细黑" w:eastAsia="华文细黑" w:hAnsi="华文细黑" w:hint="eastAsia"/>
          <w:sz w:val="24"/>
          <w:szCs w:val="24"/>
        </w:rPr>
        <w:t>地下体育文化设施</w:t>
      </w:r>
      <w:r w:rsidR="00FB576D" w:rsidRPr="00FB510D">
        <w:rPr>
          <w:rFonts w:ascii="华文细黑" w:eastAsia="华文细黑" w:hAnsi="华文细黑" w:hint="eastAsia"/>
          <w:sz w:val="24"/>
          <w:szCs w:val="24"/>
        </w:rPr>
        <w:t>等供公共使用或活动的地下空间，</w:t>
      </w:r>
      <w:r w:rsidR="00124AA5">
        <w:rPr>
          <w:rFonts w:ascii="华文细黑" w:eastAsia="华文细黑" w:hAnsi="华文细黑" w:hint="eastAsia"/>
          <w:sz w:val="24"/>
          <w:szCs w:val="24"/>
        </w:rPr>
        <w:t>用于</w:t>
      </w:r>
      <w:r w:rsidR="00FB576D" w:rsidRPr="00FB510D">
        <w:rPr>
          <w:rFonts w:ascii="华文细黑" w:eastAsia="华文细黑" w:hAnsi="华文细黑" w:hint="eastAsia"/>
          <w:sz w:val="24"/>
          <w:szCs w:val="24"/>
        </w:rPr>
        <w:t>补充地上公共空间</w:t>
      </w:r>
      <w:r w:rsidR="00124AA5">
        <w:rPr>
          <w:rFonts w:ascii="华文细黑" w:eastAsia="华文细黑" w:hAnsi="华文细黑" w:hint="eastAsia"/>
          <w:sz w:val="24"/>
          <w:szCs w:val="24"/>
        </w:rPr>
        <w:t>、丰富地下空间功能、提升地下空间品质</w:t>
      </w:r>
      <w:r w:rsidR="00FB576D" w:rsidRPr="00FB510D">
        <w:rPr>
          <w:rFonts w:ascii="华文细黑" w:eastAsia="华文细黑" w:hAnsi="华文细黑" w:hint="eastAsia"/>
          <w:sz w:val="24"/>
          <w:szCs w:val="24"/>
        </w:rPr>
        <w:t>。</w:t>
      </w:r>
    </w:p>
    <w:p w:rsidR="00FB576D" w:rsidRPr="00FB510D" w:rsidRDefault="00FB576D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应以人为本，从人的具体需要、行为心理特征出发进行地下公共活动空间设计，营造舒适宜人的地下公共空间。</w:t>
      </w:r>
    </w:p>
    <w:p w:rsidR="00FB576D" w:rsidRPr="00FB510D" w:rsidRDefault="00FB576D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地下空间核心</w:t>
      </w:r>
      <w:r w:rsidR="00755E01">
        <w:rPr>
          <w:rFonts w:ascii="华文细黑" w:eastAsia="华文细黑" w:hAnsi="华文细黑" w:hint="eastAsia"/>
          <w:sz w:val="24"/>
          <w:szCs w:val="24"/>
        </w:rPr>
        <w:t>功能</w:t>
      </w:r>
      <w:r w:rsidRPr="00FB510D">
        <w:rPr>
          <w:rFonts w:ascii="华文细黑" w:eastAsia="华文细黑" w:hAnsi="华文细黑" w:hint="eastAsia"/>
          <w:sz w:val="24"/>
          <w:szCs w:val="24"/>
        </w:rPr>
        <w:t>区地下一层公共空间应加强风貌管控，地下二层以引导为主。</w:t>
      </w:r>
    </w:p>
    <w:p w:rsidR="00FB576D" w:rsidRPr="00FB510D" w:rsidRDefault="00FB576D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地下公共空间设计应注重城市环境的统一性、连续性，在城市公共空间系统的整体中考虑与地面空间的协调和良好转换，形成多样化和立体化的景观与活动空间系统。</w:t>
      </w:r>
    </w:p>
    <w:p w:rsidR="00FB576D" w:rsidRDefault="00FB576D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下沉广场是地上地下空间环境之间的过渡性空间，是城市空间立体化的重要节点，把自然景观引入地下，并与地面公共空间相连通，加强地下空间的开放性和公共性。</w:t>
      </w:r>
    </w:p>
    <w:p w:rsidR="00F110CE" w:rsidRDefault="00F110CE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110CE">
        <w:rPr>
          <w:rFonts w:ascii="华文细黑" w:eastAsia="华文细黑" w:hAnsi="华文细黑" w:hint="eastAsia"/>
          <w:sz w:val="24"/>
          <w:szCs w:val="24"/>
        </w:rPr>
        <w:t>中庭作为人流汇集区，是构造地下空间水</w:t>
      </w:r>
      <w:proofErr w:type="gramStart"/>
      <w:r w:rsidRPr="00F110CE">
        <w:rPr>
          <w:rFonts w:ascii="华文细黑" w:eastAsia="华文细黑" w:hAnsi="华文细黑" w:hint="eastAsia"/>
          <w:sz w:val="24"/>
          <w:szCs w:val="24"/>
        </w:rPr>
        <w:t>平动线</w:t>
      </w:r>
      <w:proofErr w:type="gramEnd"/>
      <w:r w:rsidRPr="00F110CE">
        <w:rPr>
          <w:rFonts w:ascii="华文细黑" w:eastAsia="华文细黑" w:hAnsi="华文细黑" w:hint="eastAsia"/>
          <w:sz w:val="24"/>
          <w:szCs w:val="24"/>
        </w:rPr>
        <w:t>和垂直动线的关键之处，中庭的大面积区域也为市民提供休闲娱乐的空间，可结合大型商业和公建设施、交通枢纽、广场绿地</w:t>
      </w:r>
      <w:r w:rsidR="00057AFC">
        <w:rPr>
          <w:rFonts w:ascii="华文细黑" w:eastAsia="华文细黑" w:hAnsi="华文细黑" w:hint="eastAsia"/>
          <w:sz w:val="24"/>
          <w:szCs w:val="24"/>
        </w:rPr>
        <w:t>设置中庭</w:t>
      </w:r>
      <w:r w:rsidRPr="00F110CE">
        <w:rPr>
          <w:rFonts w:ascii="华文细黑" w:eastAsia="华文细黑" w:hAnsi="华文细黑" w:hint="eastAsia"/>
          <w:sz w:val="24"/>
          <w:szCs w:val="24"/>
        </w:rPr>
        <w:t>。</w:t>
      </w:r>
    </w:p>
    <w:p w:rsidR="00124AA5" w:rsidRPr="00F110CE" w:rsidRDefault="00124AA5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 w:hint="eastAsia"/>
          <w:sz w:val="24"/>
          <w:szCs w:val="24"/>
        </w:rPr>
        <w:t>地下商业、文体设施等结合地上功能按需设置，作为地上功能的补充和地下人流汇集处，与地下人行系统和车行系统紧密衔接融合。</w:t>
      </w:r>
    </w:p>
    <w:p w:rsidR="00FB576D" w:rsidRPr="00FB510D" w:rsidRDefault="00FB576D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地下公共空间设计倡导自然通风与自然光线的引入，增加自然绿化元素，弱化室内室外的隔离感，增加标志性地下小品或景观，增加地下景观空间层次。</w:t>
      </w:r>
    </w:p>
    <w:p w:rsidR="00FB576D" w:rsidRPr="00503AC8" w:rsidRDefault="00FB510D" w:rsidP="00C2225B">
      <w:pPr>
        <w:pStyle w:val="2"/>
        <w:rPr>
          <w:rFonts w:ascii="华文细黑" w:eastAsia="华文细黑" w:hAnsi="华文细黑"/>
        </w:rPr>
      </w:pPr>
      <w:bookmarkStart w:id="14" w:name="_Toc55729020"/>
      <w:r w:rsidRPr="00503AC8">
        <w:rPr>
          <w:rFonts w:ascii="华文细黑" w:eastAsia="华文细黑" w:hAnsi="华文细黑"/>
        </w:rPr>
        <w:t>3</w:t>
      </w:r>
      <w:r w:rsidR="00FB576D" w:rsidRPr="00503AC8">
        <w:rPr>
          <w:rFonts w:ascii="华文细黑" w:eastAsia="华文细黑" w:hAnsi="华文细黑"/>
        </w:rPr>
        <w:t>.5</w:t>
      </w:r>
      <w:r w:rsidR="00FB576D" w:rsidRPr="00503AC8">
        <w:rPr>
          <w:rFonts w:ascii="华文细黑" w:eastAsia="华文细黑" w:hAnsi="华文细黑" w:hint="eastAsia"/>
        </w:rPr>
        <w:t>综合管廊系统</w:t>
      </w:r>
      <w:bookmarkEnd w:id="14"/>
    </w:p>
    <w:p w:rsidR="00AD1E62" w:rsidRPr="004266D3" w:rsidRDefault="00AD1E62" w:rsidP="004266D3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DB4A0C">
        <w:rPr>
          <w:rFonts w:ascii="华文细黑" w:eastAsia="华文细黑" w:hAnsi="华文细黑" w:hint="eastAsia"/>
          <w:sz w:val="24"/>
          <w:szCs w:val="24"/>
        </w:rPr>
        <w:t>地下综合管廊根据收容的管线不同，可分为干线综合管廊、支线综合管廊和缆线综合管廊。</w:t>
      </w:r>
      <w:r w:rsidR="00DB4A0C" w:rsidRPr="00FB510D">
        <w:rPr>
          <w:rFonts w:ascii="华文细黑" w:eastAsia="华文细黑" w:hAnsi="华文细黑" w:hint="eastAsia"/>
          <w:sz w:val="24"/>
          <w:szCs w:val="24"/>
        </w:rPr>
        <w:t>新开发片区新建道路，市政管线</w:t>
      </w:r>
      <w:r w:rsidR="00DB4A0C">
        <w:rPr>
          <w:rFonts w:ascii="华文细黑" w:eastAsia="华文细黑" w:hAnsi="华文细黑" w:hint="eastAsia"/>
          <w:sz w:val="24"/>
          <w:szCs w:val="24"/>
        </w:rPr>
        <w:t>宜</w:t>
      </w:r>
      <w:r w:rsidR="00DB4A0C" w:rsidRPr="00FB510D">
        <w:rPr>
          <w:rFonts w:ascii="华文细黑" w:eastAsia="华文细黑" w:hAnsi="华文细黑"/>
          <w:sz w:val="24"/>
          <w:szCs w:val="24"/>
        </w:rPr>
        <w:t>100%地下化，优先考虑布置综合管廊，以支线和</w:t>
      </w:r>
      <w:proofErr w:type="gramStart"/>
      <w:r w:rsidR="00DB4A0C" w:rsidRPr="00FB510D">
        <w:rPr>
          <w:rFonts w:ascii="华文细黑" w:eastAsia="华文细黑" w:hAnsi="华文细黑"/>
          <w:sz w:val="24"/>
          <w:szCs w:val="24"/>
        </w:rPr>
        <w:t>缆线形</w:t>
      </w:r>
      <w:proofErr w:type="gramEnd"/>
      <w:r w:rsidR="00DB4A0C" w:rsidRPr="00FB510D">
        <w:rPr>
          <w:rFonts w:ascii="华文细黑" w:eastAsia="华文细黑" w:hAnsi="华文细黑"/>
          <w:sz w:val="24"/>
          <w:szCs w:val="24"/>
        </w:rPr>
        <w:t>式为主。</w:t>
      </w:r>
    </w:p>
    <w:p w:rsidR="00FB576D" w:rsidRPr="00FB510D" w:rsidRDefault="00FB576D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地下综合管廊的类型应根据城市空间布局、片区功能定位、土地开发建设、现状实施条件等因素综合考虑，结合管线敷设需求及道路布局，确定综合管廊的系统布局和类型等，体现经济性、社会性和其他综合效益。</w:t>
      </w:r>
    </w:p>
    <w:p w:rsidR="00FB576D" w:rsidRPr="00FB510D" w:rsidRDefault="00FB576D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干线管廊宜选取具有较强贯通性和传输性的建设路由布局，支线管廊选择服务性较强的路由布局，缆线管廊一般应结合城市电力、通信管线的规划建设进行布局。应注重不同建设区域综合管廊之间、综合管廊与管网之间的关联性、系统性。</w:t>
      </w:r>
    </w:p>
    <w:p w:rsidR="00FB576D" w:rsidRPr="00FB510D" w:rsidRDefault="00FB576D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地下综合管廊的规划建设宜与地块开发相结合，与地下空间、环境景观等相关基础设施衔接协调，体现“集约化、景观化”的原则。</w:t>
      </w:r>
    </w:p>
    <w:p w:rsidR="00FB576D" w:rsidRPr="00503AC8" w:rsidRDefault="00F945B7" w:rsidP="00C2225B">
      <w:pPr>
        <w:pStyle w:val="2"/>
        <w:rPr>
          <w:rFonts w:ascii="华文细黑" w:eastAsia="华文细黑" w:hAnsi="华文细黑"/>
        </w:rPr>
      </w:pPr>
      <w:bookmarkStart w:id="15" w:name="_Toc55729021"/>
      <w:r w:rsidRPr="00503AC8">
        <w:rPr>
          <w:rFonts w:ascii="华文细黑" w:eastAsia="华文细黑" w:hAnsi="华文细黑"/>
        </w:rPr>
        <w:t>3</w:t>
      </w:r>
      <w:r w:rsidR="00FB576D" w:rsidRPr="00503AC8">
        <w:rPr>
          <w:rFonts w:ascii="华文细黑" w:eastAsia="华文细黑" w:hAnsi="华文细黑"/>
        </w:rPr>
        <w:t>.6</w:t>
      </w:r>
      <w:r w:rsidR="00FB576D" w:rsidRPr="00503AC8">
        <w:rPr>
          <w:rFonts w:ascii="华文细黑" w:eastAsia="华文细黑" w:hAnsi="华文细黑" w:hint="eastAsia"/>
        </w:rPr>
        <w:t>人防工程系统</w:t>
      </w:r>
      <w:bookmarkEnd w:id="15"/>
    </w:p>
    <w:p w:rsidR="00FB576D" w:rsidRPr="00FB510D" w:rsidRDefault="00FB576D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坚持“长期准备、重点建设、平战结合”的方针，坚持建立功能完善、布局合理的人防工程防护体系建设原则，坚持战时防空与平时防灾救灾相结合，坚持长远建设与应急建设相结合。</w:t>
      </w:r>
    </w:p>
    <w:p w:rsidR="00FB576D" w:rsidRDefault="00FB576D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加强生命线系统、重要市政、交通设施的人防工程建设，</w:t>
      </w:r>
      <w:r w:rsidR="00124AA5">
        <w:rPr>
          <w:rFonts w:ascii="华文细黑" w:eastAsia="华文细黑" w:hAnsi="华文细黑" w:hint="eastAsia"/>
          <w:sz w:val="24"/>
          <w:szCs w:val="24"/>
        </w:rPr>
        <w:t>与综合管廊系统相衔接，</w:t>
      </w:r>
      <w:r w:rsidRPr="00FB510D">
        <w:rPr>
          <w:rFonts w:ascii="华文细黑" w:eastAsia="华文细黑" w:hAnsi="华文细黑" w:hint="eastAsia"/>
          <w:sz w:val="24"/>
          <w:szCs w:val="24"/>
        </w:rPr>
        <w:t>加强轨道交通工程的人防工程骨干作用，鼓励人防设施与邻近地铁站点、下沉广场、城市应急避难场所直接连通，促进人防工程网络化发展。</w:t>
      </w:r>
    </w:p>
    <w:p w:rsidR="00217862" w:rsidRPr="00503AC8" w:rsidRDefault="00217862" w:rsidP="00217862">
      <w:pPr>
        <w:pStyle w:val="2"/>
        <w:rPr>
          <w:rFonts w:ascii="华文细黑" w:eastAsia="华文细黑" w:hAnsi="华文细黑"/>
        </w:rPr>
      </w:pPr>
      <w:bookmarkStart w:id="16" w:name="_Toc55729022"/>
      <w:r w:rsidRPr="00503AC8">
        <w:rPr>
          <w:rFonts w:ascii="华文细黑" w:eastAsia="华文细黑" w:hAnsi="华文细黑"/>
        </w:rPr>
        <w:t>3.</w:t>
      </w:r>
      <w:r>
        <w:rPr>
          <w:rFonts w:ascii="华文细黑" w:eastAsia="华文细黑" w:hAnsi="华文细黑"/>
        </w:rPr>
        <w:t>7</w:t>
      </w:r>
      <w:r w:rsidRPr="00503AC8">
        <w:rPr>
          <w:rFonts w:ascii="华文细黑" w:eastAsia="华文细黑" w:hAnsi="华文细黑" w:hint="eastAsia"/>
        </w:rPr>
        <w:t xml:space="preserve"> 地下能源系统</w:t>
      </w:r>
      <w:bookmarkEnd w:id="16"/>
    </w:p>
    <w:p w:rsidR="00217862" w:rsidRPr="00FB510D" w:rsidRDefault="00217862" w:rsidP="00217862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 w:hint="eastAsia"/>
          <w:sz w:val="24"/>
          <w:szCs w:val="24"/>
        </w:rPr>
        <w:t>地下能源系统，本导则主要指</w:t>
      </w:r>
      <w:r w:rsidRPr="00FB510D">
        <w:rPr>
          <w:rFonts w:ascii="华文细黑" w:eastAsia="华文细黑" w:hAnsi="华文细黑" w:hint="eastAsia"/>
          <w:sz w:val="24"/>
          <w:szCs w:val="24"/>
        </w:rPr>
        <w:t>分布式能源</w:t>
      </w:r>
      <w:r>
        <w:rPr>
          <w:rFonts w:ascii="华文细黑" w:eastAsia="华文细黑" w:hAnsi="华文细黑" w:hint="eastAsia"/>
          <w:sz w:val="24"/>
          <w:szCs w:val="24"/>
        </w:rPr>
        <w:t>系统，</w:t>
      </w:r>
      <w:r w:rsidRPr="00FB510D">
        <w:rPr>
          <w:rFonts w:ascii="华文细黑" w:eastAsia="华文细黑" w:hAnsi="华文细黑" w:hint="eastAsia"/>
          <w:sz w:val="24"/>
          <w:szCs w:val="24"/>
        </w:rPr>
        <w:t>是指通过</w:t>
      </w:r>
      <w:proofErr w:type="gramStart"/>
      <w:r w:rsidRPr="00FB510D">
        <w:rPr>
          <w:rFonts w:ascii="华文细黑" w:eastAsia="华文细黑" w:hAnsi="华文细黑" w:hint="eastAsia"/>
          <w:sz w:val="24"/>
          <w:szCs w:val="24"/>
        </w:rPr>
        <w:t>冷热电三</w:t>
      </w:r>
      <w:proofErr w:type="gramEnd"/>
      <w:r w:rsidRPr="00FB510D">
        <w:rPr>
          <w:rFonts w:ascii="华文细黑" w:eastAsia="华文细黑" w:hAnsi="华文细黑" w:hint="eastAsia"/>
          <w:sz w:val="24"/>
          <w:szCs w:val="24"/>
        </w:rPr>
        <w:t>联供等方式实现能源的梯级利用，综合能源利用效率在70％以上，并在负荷中心就近实现能源供应的现代能源供应方式，是实现</w:t>
      </w:r>
      <w:r>
        <w:rPr>
          <w:rFonts w:ascii="华文细黑" w:eastAsia="华文细黑" w:hAnsi="华文细黑" w:hint="eastAsia"/>
          <w:sz w:val="24"/>
          <w:szCs w:val="24"/>
        </w:rPr>
        <w:t>能源</w:t>
      </w:r>
      <w:r w:rsidRPr="00FB510D">
        <w:rPr>
          <w:rFonts w:ascii="华文细黑" w:eastAsia="华文细黑" w:hAnsi="华文细黑" w:hint="eastAsia"/>
          <w:sz w:val="24"/>
          <w:szCs w:val="24"/>
        </w:rPr>
        <w:t>高效利用和优化能源结构的重要途径。</w:t>
      </w:r>
    </w:p>
    <w:p w:rsidR="00217862" w:rsidRPr="00FB510D" w:rsidRDefault="00217862" w:rsidP="00217862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能源中心需尽量靠近负荷中心，减少能源输送损耗，单个能源</w:t>
      </w:r>
      <w:proofErr w:type="gramStart"/>
      <w:r w:rsidRPr="00FB510D">
        <w:rPr>
          <w:rFonts w:ascii="华文细黑" w:eastAsia="华文细黑" w:hAnsi="华文细黑" w:hint="eastAsia"/>
          <w:sz w:val="24"/>
          <w:szCs w:val="24"/>
        </w:rPr>
        <w:t>站供应</w:t>
      </w:r>
      <w:proofErr w:type="gramEnd"/>
      <w:r w:rsidRPr="00FB510D">
        <w:rPr>
          <w:rFonts w:ascii="华文细黑" w:eastAsia="华文细黑" w:hAnsi="华文细黑" w:hint="eastAsia"/>
          <w:sz w:val="24"/>
          <w:szCs w:val="24"/>
        </w:rPr>
        <w:t>半径不</w:t>
      </w:r>
      <w:r>
        <w:rPr>
          <w:rFonts w:ascii="华文细黑" w:eastAsia="华文细黑" w:hAnsi="华文细黑" w:hint="eastAsia"/>
          <w:sz w:val="24"/>
          <w:szCs w:val="24"/>
        </w:rPr>
        <w:t>宜</w:t>
      </w:r>
      <w:r w:rsidRPr="00FB510D">
        <w:rPr>
          <w:rFonts w:ascii="华文细黑" w:eastAsia="华文细黑" w:hAnsi="华文细黑" w:hint="eastAsia"/>
          <w:sz w:val="24"/>
          <w:szCs w:val="24"/>
        </w:rPr>
        <w:t>大于2</w:t>
      </w:r>
      <w:r>
        <w:rPr>
          <w:rFonts w:ascii="华文细黑" w:eastAsia="华文细黑" w:hAnsi="华文细黑" w:hint="eastAsia"/>
          <w:sz w:val="24"/>
          <w:szCs w:val="24"/>
        </w:rPr>
        <w:t>公里</w:t>
      </w:r>
      <w:r w:rsidRPr="00FB510D">
        <w:rPr>
          <w:rFonts w:ascii="华文细黑" w:eastAsia="华文细黑" w:hAnsi="华文细黑" w:hint="eastAsia"/>
          <w:sz w:val="24"/>
          <w:szCs w:val="24"/>
        </w:rPr>
        <w:t>。单个能源站供能面积100~200万平方米，最低单站供能面积不低于50万平方米。</w:t>
      </w:r>
    </w:p>
    <w:p w:rsidR="00217862" w:rsidRPr="00FB510D" w:rsidRDefault="00217862" w:rsidP="00217862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能源站优先结合绿地地下空间设置，鼓励结合地块建筑地下室建设，能源管沟与综合管廊整合协调。相近能源</w:t>
      </w:r>
      <w:proofErr w:type="gramStart"/>
      <w:r w:rsidRPr="00FB510D">
        <w:rPr>
          <w:rFonts w:ascii="华文细黑" w:eastAsia="华文细黑" w:hAnsi="华文细黑" w:hint="eastAsia"/>
          <w:sz w:val="24"/>
          <w:szCs w:val="24"/>
        </w:rPr>
        <w:t>站鼓励</w:t>
      </w:r>
      <w:proofErr w:type="gramEnd"/>
      <w:r w:rsidRPr="00FB510D">
        <w:rPr>
          <w:rFonts w:ascii="华文细黑" w:eastAsia="华文细黑" w:hAnsi="华文细黑" w:hint="eastAsia"/>
          <w:sz w:val="24"/>
          <w:szCs w:val="24"/>
        </w:rPr>
        <w:t>互联互通，增强能源供应韧性，提高供能安全性，构建社区能源互联网。</w:t>
      </w:r>
    </w:p>
    <w:p w:rsidR="00217862" w:rsidRPr="00FB510D" w:rsidRDefault="00217862" w:rsidP="00217862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结合产业、办公集中分布的重点片区，鼓励推广应用分布式供能系统，实现能源低碳高效可靠集中供应，打造分布式能源利用示范高地。</w:t>
      </w:r>
    </w:p>
    <w:p w:rsidR="00217862" w:rsidRPr="00503AC8" w:rsidRDefault="00217862" w:rsidP="00217862">
      <w:pPr>
        <w:pStyle w:val="2"/>
        <w:rPr>
          <w:rFonts w:ascii="华文细黑" w:eastAsia="华文细黑" w:hAnsi="华文细黑"/>
        </w:rPr>
      </w:pPr>
      <w:bookmarkStart w:id="17" w:name="_Toc55729023"/>
      <w:r w:rsidRPr="00503AC8">
        <w:rPr>
          <w:rFonts w:ascii="华文细黑" w:eastAsia="华文细黑" w:hAnsi="华文细黑"/>
        </w:rPr>
        <w:t>3.</w:t>
      </w:r>
      <w:r>
        <w:rPr>
          <w:rFonts w:ascii="华文细黑" w:eastAsia="华文细黑" w:hAnsi="华文细黑"/>
        </w:rPr>
        <w:t>8</w:t>
      </w:r>
      <w:r w:rsidRPr="00503AC8">
        <w:rPr>
          <w:rFonts w:ascii="华文细黑" w:eastAsia="华文细黑" w:hAnsi="华文细黑" w:hint="eastAsia"/>
        </w:rPr>
        <w:t xml:space="preserve"> 海绵城市系统</w:t>
      </w:r>
      <w:bookmarkEnd w:id="17"/>
    </w:p>
    <w:p w:rsidR="00217862" w:rsidRPr="00217862" w:rsidRDefault="00217862" w:rsidP="00217862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海绵城市</w:t>
      </w:r>
      <w:r w:rsidR="00DB03BA">
        <w:rPr>
          <w:rFonts w:ascii="华文细黑" w:eastAsia="华文细黑" w:hAnsi="华文细黑" w:hint="eastAsia"/>
          <w:sz w:val="24"/>
          <w:szCs w:val="24"/>
        </w:rPr>
        <w:t>建设包括</w:t>
      </w:r>
      <w:r w:rsidRPr="00FB510D">
        <w:rPr>
          <w:rFonts w:ascii="华文细黑" w:eastAsia="华文细黑" w:hAnsi="华文细黑" w:hint="eastAsia"/>
          <w:sz w:val="24"/>
          <w:szCs w:val="24"/>
        </w:rPr>
        <w:t>“渗、滞、蓄、净、用、排”</w:t>
      </w:r>
      <w:r w:rsidR="00DB03BA">
        <w:rPr>
          <w:rFonts w:ascii="华文细黑" w:eastAsia="华文细黑" w:hAnsi="华文细黑" w:hint="eastAsia"/>
          <w:sz w:val="24"/>
          <w:szCs w:val="24"/>
        </w:rPr>
        <w:t>等多种</w:t>
      </w:r>
      <w:r w:rsidRPr="00FB510D">
        <w:rPr>
          <w:rFonts w:ascii="华文细黑" w:eastAsia="华文细黑" w:hAnsi="华文细黑" w:hint="eastAsia"/>
          <w:sz w:val="24"/>
          <w:szCs w:val="24"/>
        </w:rPr>
        <w:t>技术</w:t>
      </w:r>
      <w:r w:rsidR="00DB03BA">
        <w:rPr>
          <w:rFonts w:ascii="华文细黑" w:eastAsia="华文细黑" w:hAnsi="华文细黑" w:hint="eastAsia"/>
          <w:sz w:val="24"/>
          <w:szCs w:val="24"/>
        </w:rPr>
        <w:t>措施</w:t>
      </w:r>
      <w:r w:rsidRPr="00FB510D">
        <w:rPr>
          <w:rFonts w:ascii="华文细黑" w:eastAsia="华文细黑" w:hAnsi="华文细黑" w:hint="eastAsia"/>
          <w:sz w:val="24"/>
          <w:szCs w:val="24"/>
        </w:rPr>
        <w:t>，</w:t>
      </w:r>
      <w:proofErr w:type="gramStart"/>
      <w:r w:rsidR="00DB03BA">
        <w:rPr>
          <w:rFonts w:ascii="华文细黑" w:eastAsia="华文细黑" w:hAnsi="华文细黑" w:hint="eastAsia"/>
          <w:sz w:val="24"/>
          <w:szCs w:val="24"/>
        </w:rPr>
        <w:t>涵盖低</w:t>
      </w:r>
      <w:proofErr w:type="gramEnd"/>
      <w:r w:rsidR="00DB03BA">
        <w:rPr>
          <w:rFonts w:ascii="华文细黑" w:eastAsia="华文细黑" w:hAnsi="华文细黑" w:hint="eastAsia"/>
          <w:sz w:val="24"/>
          <w:szCs w:val="24"/>
        </w:rPr>
        <w:t>影响开发雨水系统、城镇雨水管</w:t>
      </w:r>
      <w:proofErr w:type="gramStart"/>
      <w:r w:rsidR="00DB03BA">
        <w:rPr>
          <w:rFonts w:ascii="华文细黑" w:eastAsia="华文细黑" w:hAnsi="华文细黑" w:hint="eastAsia"/>
          <w:sz w:val="24"/>
          <w:szCs w:val="24"/>
        </w:rPr>
        <w:t>渠系统</w:t>
      </w:r>
      <w:proofErr w:type="gramEnd"/>
      <w:r w:rsidR="00DB03BA">
        <w:rPr>
          <w:rFonts w:ascii="华文细黑" w:eastAsia="华文细黑" w:hAnsi="华文细黑" w:hint="eastAsia"/>
          <w:sz w:val="24"/>
          <w:szCs w:val="24"/>
        </w:rPr>
        <w:t>和超标雨水径流排放系统，具体分为</w:t>
      </w:r>
      <w:r w:rsidR="00FA3BEA">
        <w:rPr>
          <w:rFonts w:ascii="华文细黑" w:eastAsia="华文细黑" w:hAnsi="华文细黑" w:hint="eastAsia"/>
          <w:sz w:val="24"/>
          <w:szCs w:val="24"/>
        </w:rPr>
        <w:t>区域系统、</w:t>
      </w:r>
      <w:r w:rsidRPr="00FB510D">
        <w:rPr>
          <w:rFonts w:ascii="华文细黑" w:eastAsia="华文细黑" w:hAnsi="华文细黑" w:hint="eastAsia"/>
          <w:sz w:val="24"/>
          <w:szCs w:val="24"/>
        </w:rPr>
        <w:t>建筑与小区、绿地</w:t>
      </w:r>
      <w:r w:rsidR="00FA3BEA">
        <w:rPr>
          <w:rFonts w:ascii="华文细黑" w:eastAsia="华文细黑" w:hAnsi="华文细黑" w:hint="eastAsia"/>
          <w:sz w:val="24"/>
          <w:szCs w:val="24"/>
        </w:rPr>
        <w:t>、道路</w:t>
      </w:r>
      <w:r w:rsidRPr="00FB510D">
        <w:rPr>
          <w:rFonts w:ascii="华文细黑" w:eastAsia="华文细黑" w:hAnsi="华文细黑" w:hint="eastAsia"/>
          <w:sz w:val="24"/>
          <w:szCs w:val="24"/>
        </w:rPr>
        <w:t>与广场、</w:t>
      </w:r>
      <w:r w:rsidR="00FA3BEA">
        <w:rPr>
          <w:rFonts w:ascii="华文细黑" w:eastAsia="华文细黑" w:hAnsi="华文细黑" w:hint="eastAsia"/>
          <w:sz w:val="24"/>
          <w:szCs w:val="24"/>
        </w:rPr>
        <w:t>水务等方面，</w:t>
      </w:r>
      <w:r w:rsidRPr="00FB510D">
        <w:rPr>
          <w:rFonts w:ascii="华文细黑" w:eastAsia="华文细黑" w:hAnsi="华文细黑" w:hint="eastAsia"/>
          <w:sz w:val="24"/>
          <w:szCs w:val="24"/>
        </w:rPr>
        <w:t>地下空间</w:t>
      </w:r>
      <w:r w:rsidR="00FA3BEA">
        <w:rPr>
          <w:rFonts w:ascii="华文细黑" w:eastAsia="华文细黑" w:hAnsi="华文细黑" w:hint="eastAsia"/>
          <w:sz w:val="24"/>
          <w:szCs w:val="24"/>
        </w:rPr>
        <w:t>的开发建设应符合《</w:t>
      </w:r>
      <w:r w:rsidR="00FA3BEA" w:rsidRPr="00FA3BEA">
        <w:rPr>
          <w:rFonts w:ascii="华文细黑" w:eastAsia="华文细黑" w:hAnsi="华文细黑" w:hint="eastAsia"/>
          <w:sz w:val="24"/>
          <w:szCs w:val="24"/>
        </w:rPr>
        <w:t>海绵城市建设评价标准</w:t>
      </w:r>
      <w:r w:rsidR="00FA3BEA">
        <w:rPr>
          <w:rFonts w:ascii="华文细黑" w:eastAsia="华文细黑" w:hAnsi="华文细黑" w:hint="eastAsia"/>
          <w:sz w:val="24"/>
          <w:szCs w:val="24"/>
        </w:rPr>
        <w:t>》（</w:t>
      </w:r>
      <w:r w:rsidR="00FA3BEA" w:rsidRPr="00FA3BEA">
        <w:rPr>
          <w:rFonts w:ascii="华文细黑" w:eastAsia="华文细黑" w:hAnsi="华文细黑"/>
          <w:sz w:val="24"/>
          <w:szCs w:val="24"/>
        </w:rPr>
        <w:t>GB/T 51345-2018</w:t>
      </w:r>
      <w:r w:rsidR="00FA3BEA">
        <w:rPr>
          <w:rFonts w:ascii="华文细黑" w:eastAsia="华文细黑" w:hAnsi="华文细黑" w:hint="eastAsia"/>
          <w:sz w:val="24"/>
          <w:szCs w:val="24"/>
        </w:rPr>
        <w:t>）、</w:t>
      </w:r>
      <w:r w:rsidR="001E0DBC" w:rsidRPr="001E0DBC">
        <w:rPr>
          <w:rFonts w:ascii="华文细黑" w:eastAsia="华文细黑" w:hAnsi="华文细黑" w:hint="eastAsia"/>
          <w:sz w:val="24"/>
          <w:szCs w:val="24"/>
        </w:rPr>
        <w:t>《海绵城市建设技术标准》</w:t>
      </w:r>
      <w:r w:rsidR="001E0DBC">
        <w:rPr>
          <w:rFonts w:ascii="华文细黑" w:eastAsia="华文细黑" w:hAnsi="华文细黑" w:hint="eastAsia"/>
          <w:sz w:val="24"/>
          <w:szCs w:val="24"/>
        </w:rPr>
        <w:t>（</w:t>
      </w:r>
      <w:r w:rsidR="001E0DBC" w:rsidRPr="001E0DBC">
        <w:rPr>
          <w:rFonts w:ascii="华文细黑" w:eastAsia="华文细黑" w:hAnsi="华文细黑"/>
          <w:sz w:val="24"/>
          <w:szCs w:val="24"/>
        </w:rPr>
        <w:t>DG/TJ 08-2298-2019</w:t>
      </w:r>
      <w:r w:rsidR="001E0DBC">
        <w:rPr>
          <w:rFonts w:ascii="华文细黑" w:eastAsia="华文细黑" w:hAnsi="华文细黑" w:hint="eastAsia"/>
          <w:sz w:val="24"/>
          <w:szCs w:val="24"/>
        </w:rPr>
        <w:t>）、</w:t>
      </w:r>
      <w:r w:rsidR="00FA3BEA">
        <w:rPr>
          <w:rFonts w:ascii="华文细黑" w:eastAsia="华文细黑" w:hAnsi="华文细黑" w:hint="eastAsia"/>
          <w:sz w:val="24"/>
          <w:szCs w:val="24"/>
        </w:rPr>
        <w:t>《上海市海绵城市建设技术导则》</w:t>
      </w:r>
      <w:r w:rsidR="001E0DBC">
        <w:rPr>
          <w:rFonts w:ascii="华文细黑" w:eastAsia="华文细黑" w:hAnsi="华文细黑" w:hint="eastAsia"/>
          <w:sz w:val="24"/>
          <w:szCs w:val="24"/>
        </w:rPr>
        <w:t>和</w:t>
      </w:r>
      <w:r w:rsidR="00FA3BEA" w:rsidRPr="00FA3BEA">
        <w:rPr>
          <w:rFonts w:ascii="华文细黑" w:eastAsia="华文细黑" w:hAnsi="华文细黑" w:hint="eastAsia"/>
          <w:sz w:val="24"/>
          <w:szCs w:val="24"/>
        </w:rPr>
        <w:t>《上海临港地区海绵城市专项规划》</w:t>
      </w:r>
      <w:r w:rsidR="001E0DBC">
        <w:rPr>
          <w:rFonts w:ascii="华文细黑" w:eastAsia="华文细黑" w:hAnsi="华文细黑" w:hint="eastAsia"/>
          <w:sz w:val="24"/>
          <w:szCs w:val="24"/>
        </w:rPr>
        <w:t>等标准和规划</w:t>
      </w:r>
      <w:r w:rsidR="00FA3BEA">
        <w:rPr>
          <w:rFonts w:ascii="华文细黑" w:eastAsia="华文细黑" w:hAnsi="华文细黑" w:hint="eastAsia"/>
          <w:sz w:val="24"/>
          <w:szCs w:val="24"/>
        </w:rPr>
        <w:t>的要求</w:t>
      </w:r>
      <w:r w:rsidRPr="00FB510D">
        <w:rPr>
          <w:rFonts w:ascii="华文细黑" w:eastAsia="华文细黑" w:hAnsi="华文细黑" w:hint="eastAsia"/>
          <w:sz w:val="24"/>
          <w:szCs w:val="24"/>
        </w:rPr>
        <w:t>。</w:t>
      </w:r>
    </w:p>
    <w:p w:rsidR="00FB576D" w:rsidRPr="00503AC8" w:rsidRDefault="00F945B7" w:rsidP="00C2225B">
      <w:pPr>
        <w:pStyle w:val="2"/>
        <w:rPr>
          <w:rFonts w:ascii="华文细黑" w:eastAsia="华文细黑" w:hAnsi="华文细黑"/>
        </w:rPr>
      </w:pPr>
      <w:bookmarkStart w:id="18" w:name="_Toc55729024"/>
      <w:r w:rsidRPr="00503AC8">
        <w:rPr>
          <w:rFonts w:ascii="华文细黑" w:eastAsia="华文细黑" w:hAnsi="华文细黑"/>
        </w:rPr>
        <w:t>3</w:t>
      </w:r>
      <w:r w:rsidR="00FB576D" w:rsidRPr="00503AC8">
        <w:rPr>
          <w:rFonts w:ascii="华文细黑" w:eastAsia="华文细黑" w:hAnsi="华文细黑"/>
        </w:rPr>
        <w:t>.</w:t>
      </w:r>
      <w:r w:rsidR="00217862">
        <w:rPr>
          <w:rFonts w:ascii="华文细黑" w:eastAsia="华文细黑" w:hAnsi="华文细黑"/>
        </w:rPr>
        <w:t>9</w:t>
      </w:r>
      <w:r w:rsidR="00FB576D" w:rsidRPr="00503AC8">
        <w:rPr>
          <w:rFonts w:ascii="华文细黑" w:eastAsia="华文细黑" w:hAnsi="华文细黑" w:hint="eastAsia"/>
        </w:rPr>
        <w:t>地下垃圾系统</w:t>
      </w:r>
      <w:bookmarkEnd w:id="18"/>
    </w:p>
    <w:p w:rsidR="00057AFC" w:rsidRDefault="00057AFC" w:rsidP="00057AFC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 w:hint="eastAsia"/>
          <w:sz w:val="24"/>
          <w:szCs w:val="24"/>
        </w:rPr>
        <w:t>地下垃圾</w:t>
      </w:r>
      <w:r w:rsidR="00FB576D" w:rsidRPr="00FB510D">
        <w:rPr>
          <w:rFonts w:ascii="华文细黑" w:eastAsia="华文细黑" w:hAnsi="华文细黑" w:hint="eastAsia"/>
          <w:sz w:val="24"/>
          <w:szCs w:val="24"/>
        </w:rPr>
        <w:t>系统包括三部分，即投放系统、地下管道网络系统和中央收集系统，利用负压技术将生活垃圾由收集点通过真空管道网络抽送至集中点，再由压缩车运送至垃圾处置场</w:t>
      </w:r>
      <w:r w:rsidR="00124AA5">
        <w:rPr>
          <w:rFonts w:ascii="华文细黑" w:eastAsia="华文细黑" w:hAnsi="华文细黑" w:hint="eastAsia"/>
          <w:sz w:val="24"/>
          <w:szCs w:val="24"/>
        </w:rPr>
        <w:t>，</w:t>
      </w:r>
      <w:r w:rsidR="00124AA5" w:rsidRPr="00FB510D">
        <w:rPr>
          <w:rFonts w:ascii="华文细黑" w:eastAsia="华文细黑" w:hAnsi="华文细黑" w:hint="eastAsia"/>
          <w:sz w:val="24"/>
          <w:szCs w:val="24"/>
        </w:rPr>
        <w:t>实现垃圾流的密封隐蔽，与人流完全隔离</w:t>
      </w:r>
      <w:r w:rsidR="00124AA5" w:rsidRPr="00FB510D">
        <w:rPr>
          <w:rFonts w:ascii="华文细黑" w:eastAsia="华文细黑" w:hAnsi="华文细黑"/>
          <w:sz w:val="24"/>
          <w:szCs w:val="24"/>
        </w:rPr>
        <w:t>,有效杜绝收集过程的二次污染。</w:t>
      </w:r>
    </w:p>
    <w:p w:rsidR="00FB576D" w:rsidRPr="00057AFC" w:rsidRDefault="00057AFC" w:rsidP="00057AFC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057AFC">
        <w:rPr>
          <w:rFonts w:ascii="华文细黑" w:eastAsia="华文细黑" w:hAnsi="华文细黑" w:hint="eastAsia"/>
          <w:sz w:val="24"/>
          <w:szCs w:val="24"/>
        </w:rPr>
        <w:t>地下垃圾系统</w:t>
      </w:r>
      <w:r w:rsidR="00FB576D" w:rsidRPr="00057AFC">
        <w:rPr>
          <w:rFonts w:ascii="华文细黑" w:eastAsia="华文细黑" w:hAnsi="华文细黑" w:hint="eastAsia"/>
          <w:sz w:val="24"/>
          <w:szCs w:val="24"/>
        </w:rPr>
        <w:t>适用于开发强度高、环境品质要求高的商务办公区、生活居住区，以及医院、展览中心等公共建筑</w:t>
      </w:r>
      <w:r w:rsidR="00124AA5">
        <w:rPr>
          <w:rFonts w:ascii="华文细黑" w:eastAsia="华文细黑" w:hAnsi="华文细黑" w:hint="eastAsia"/>
          <w:sz w:val="24"/>
          <w:szCs w:val="24"/>
        </w:rPr>
        <w:t>，</w:t>
      </w:r>
      <w:r w:rsidR="0061394B">
        <w:rPr>
          <w:rFonts w:ascii="华文细黑" w:eastAsia="华文细黑" w:hAnsi="华文细黑" w:hint="eastAsia"/>
          <w:sz w:val="24"/>
          <w:szCs w:val="24"/>
        </w:rPr>
        <w:t>布局应与综合管廊综合考虑</w:t>
      </w:r>
      <w:r w:rsidR="00FB576D" w:rsidRPr="00057AFC">
        <w:rPr>
          <w:rFonts w:ascii="华文细黑" w:eastAsia="华文细黑" w:hAnsi="华文细黑" w:hint="eastAsia"/>
          <w:sz w:val="24"/>
          <w:szCs w:val="24"/>
        </w:rPr>
        <w:t>。</w:t>
      </w:r>
    </w:p>
    <w:p w:rsidR="00FB576D" w:rsidRPr="00503AC8" w:rsidRDefault="00F945B7" w:rsidP="00C2225B">
      <w:pPr>
        <w:pStyle w:val="2"/>
        <w:rPr>
          <w:rFonts w:ascii="华文细黑" w:eastAsia="华文细黑" w:hAnsi="华文细黑"/>
        </w:rPr>
      </w:pPr>
      <w:bookmarkStart w:id="19" w:name="_Toc55729025"/>
      <w:r w:rsidRPr="00503AC8">
        <w:rPr>
          <w:rFonts w:ascii="华文细黑" w:eastAsia="华文细黑" w:hAnsi="华文细黑"/>
        </w:rPr>
        <w:t>3</w:t>
      </w:r>
      <w:r w:rsidR="00FB576D" w:rsidRPr="00503AC8">
        <w:rPr>
          <w:rFonts w:ascii="华文细黑" w:eastAsia="华文细黑" w:hAnsi="华文细黑"/>
        </w:rPr>
        <w:t>.</w:t>
      </w:r>
      <w:r w:rsidR="00217862">
        <w:rPr>
          <w:rFonts w:ascii="华文细黑" w:eastAsia="华文细黑" w:hAnsi="华文细黑"/>
        </w:rPr>
        <w:t>10</w:t>
      </w:r>
      <w:r w:rsidR="00FB576D" w:rsidRPr="00503AC8">
        <w:rPr>
          <w:rFonts w:ascii="华文细黑" w:eastAsia="华文细黑" w:hAnsi="华文细黑" w:hint="eastAsia"/>
        </w:rPr>
        <w:t>地下物流系统</w:t>
      </w:r>
      <w:bookmarkEnd w:id="19"/>
    </w:p>
    <w:p w:rsidR="00FB576D" w:rsidRPr="00FB510D" w:rsidRDefault="00FB576D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地下物流系统是指采用专用的运载工具，通过信息技术实现货物在地下全自动装卸、运输、分拣、配送的无缝衔接的系统，与仓储物流中心、社区配送中心等枢纽相互连通。</w:t>
      </w:r>
    </w:p>
    <w:p w:rsidR="00FB576D" w:rsidRPr="00FB510D" w:rsidRDefault="00FB576D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城市地下物流系统主要解决城市物流配送的瓶颈问题，地下物流能够全天候智能化送货，保障运输的时效性和高效性，为用户带来便捷体验，同时缓解了城市交通拥堵问题，改善城市居民的生活品质，适用于新建办公集中区和部分生活社区。</w:t>
      </w:r>
    </w:p>
    <w:p w:rsidR="00FB576D" w:rsidRPr="00FB510D" w:rsidRDefault="00FB576D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城市地下物流系统</w:t>
      </w:r>
      <w:r w:rsidR="00CA5E14">
        <w:rPr>
          <w:rFonts w:ascii="华文细黑" w:eastAsia="华文细黑" w:hAnsi="华文细黑" w:hint="eastAsia"/>
          <w:sz w:val="24"/>
          <w:szCs w:val="24"/>
        </w:rPr>
        <w:t>宜</w:t>
      </w:r>
      <w:r w:rsidRPr="00FB510D">
        <w:rPr>
          <w:rFonts w:ascii="华文细黑" w:eastAsia="华文细黑" w:hAnsi="华文细黑" w:hint="eastAsia"/>
          <w:sz w:val="24"/>
          <w:szCs w:val="24"/>
        </w:rPr>
        <w:t>与综合管廊、地下道路、地下综合体结合建设，</w:t>
      </w:r>
      <w:r w:rsidR="00CA5E14">
        <w:rPr>
          <w:rFonts w:ascii="华文细黑" w:eastAsia="华文细黑" w:hAnsi="华文细黑" w:hint="eastAsia"/>
          <w:sz w:val="24"/>
          <w:szCs w:val="24"/>
        </w:rPr>
        <w:t>应将</w:t>
      </w:r>
      <w:r w:rsidRPr="00FB510D">
        <w:rPr>
          <w:rFonts w:ascii="华文细黑" w:eastAsia="华文细黑" w:hAnsi="华文细黑" w:hint="eastAsia"/>
          <w:sz w:val="24"/>
          <w:szCs w:val="24"/>
        </w:rPr>
        <w:t>地上的货运网络和地下的货运网络结合</w:t>
      </w:r>
      <w:r w:rsidR="00CA5E14">
        <w:rPr>
          <w:rFonts w:ascii="华文细黑" w:eastAsia="华文细黑" w:hAnsi="华文细黑" w:hint="eastAsia"/>
          <w:sz w:val="24"/>
          <w:szCs w:val="24"/>
        </w:rPr>
        <w:t>考虑</w:t>
      </w:r>
      <w:r w:rsidRPr="00FB510D">
        <w:rPr>
          <w:rFonts w:ascii="华文细黑" w:eastAsia="华文细黑" w:hAnsi="华文细黑" w:hint="eastAsia"/>
          <w:sz w:val="24"/>
          <w:szCs w:val="24"/>
        </w:rPr>
        <w:t>。</w:t>
      </w:r>
    </w:p>
    <w:p w:rsidR="00FB576D" w:rsidRPr="00FB510D" w:rsidRDefault="00CA5E14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 w:hint="eastAsia"/>
          <w:sz w:val="24"/>
          <w:szCs w:val="24"/>
        </w:rPr>
        <w:t>有条件的地块</w:t>
      </w:r>
      <w:r w:rsidR="00FB576D" w:rsidRPr="00FB510D">
        <w:rPr>
          <w:rFonts w:ascii="华文细黑" w:eastAsia="华文细黑" w:hAnsi="华文细黑" w:hint="eastAsia"/>
          <w:sz w:val="24"/>
          <w:szCs w:val="24"/>
        </w:rPr>
        <w:t>可新建地下物流到户配送系统，实现末端自动化“门到门”服务，提升用户体验</w:t>
      </w:r>
      <w:r>
        <w:rPr>
          <w:rFonts w:ascii="华文细黑" w:eastAsia="华文细黑" w:hAnsi="华文细黑" w:hint="eastAsia"/>
          <w:sz w:val="24"/>
          <w:szCs w:val="24"/>
        </w:rPr>
        <w:t>，提高城市管理品质</w:t>
      </w:r>
      <w:r w:rsidR="00FB576D" w:rsidRPr="00FB510D">
        <w:rPr>
          <w:rFonts w:ascii="华文细黑" w:eastAsia="华文细黑" w:hAnsi="华文细黑" w:hint="eastAsia"/>
          <w:sz w:val="24"/>
          <w:szCs w:val="24"/>
        </w:rPr>
        <w:t>。</w:t>
      </w:r>
    </w:p>
    <w:p w:rsidR="00E238C0" w:rsidRPr="00503AC8" w:rsidRDefault="00F945B7" w:rsidP="00C2225B">
      <w:pPr>
        <w:pStyle w:val="1"/>
        <w:rPr>
          <w:rFonts w:ascii="华文细黑" w:eastAsia="华文细黑" w:hAnsi="华文细黑"/>
        </w:rPr>
      </w:pPr>
      <w:bookmarkStart w:id="20" w:name="_Toc55729026"/>
      <w:r w:rsidRPr="00503AC8">
        <w:rPr>
          <w:rFonts w:ascii="华文细黑" w:eastAsia="华文细黑" w:hAnsi="华文细黑"/>
        </w:rPr>
        <w:t>4</w:t>
      </w:r>
      <w:r w:rsidR="00E238C0" w:rsidRPr="00503AC8">
        <w:rPr>
          <w:rFonts w:ascii="华文细黑" w:eastAsia="华文细黑" w:hAnsi="华文细黑" w:hint="eastAsia"/>
        </w:rPr>
        <w:t>规划管控实施</w:t>
      </w:r>
      <w:bookmarkEnd w:id="20"/>
    </w:p>
    <w:p w:rsidR="00FB576D" w:rsidRPr="00503AC8" w:rsidRDefault="00F945B7" w:rsidP="00C2225B">
      <w:pPr>
        <w:pStyle w:val="2"/>
        <w:rPr>
          <w:rFonts w:ascii="华文细黑" w:eastAsia="华文细黑" w:hAnsi="华文细黑"/>
        </w:rPr>
      </w:pPr>
      <w:bookmarkStart w:id="21" w:name="_Toc55729027"/>
      <w:r w:rsidRPr="00503AC8">
        <w:rPr>
          <w:rFonts w:ascii="华文细黑" w:eastAsia="华文细黑" w:hAnsi="华文细黑"/>
        </w:rPr>
        <w:t>4</w:t>
      </w:r>
      <w:r w:rsidR="00FB576D" w:rsidRPr="00503AC8">
        <w:rPr>
          <w:rFonts w:ascii="华文细黑" w:eastAsia="华文细黑" w:hAnsi="华文细黑"/>
        </w:rPr>
        <w:t>.1</w:t>
      </w:r>
      <w:r w:rsidR="00FB576D" w:rsidRPr="00503AC8">
        <w:rPr>
          <w:rFonts w:ascii="华文细黑" w:eastAsia="华文细黑" w:hAnsi="华文细黑" w:hint="eastAsia"/>
        </w:rPr>
        <w:t>规划管控要素</w:t>
      </w:r>
      <w:r w:rsidR="00362E4F" w:rsidRPr="00503AC8">
        <w:rPr>
          <w:rFonts w:ascii="华文细黑" w:eastAsia="华文细黑" w:hAnsi="华文细黑" w:hint="eastAsia"/>
        </w:rPr>
        <w:t>及指引</w:t>
      </w:r>
      <w:bookmarkEnd w:id="21"/>
    </w:p>
    <w:p w:rsidR="00A87B90" w:rsidRDefault="00A87B90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 w:hint="eastAsia"/>
          <w:sz w:val="24"/>
          <w:szCs w:val="24"/>
        </w:rPr>
        <w:t>（1）规划管控要素类型</w:t>
      </w:r>
    </w:p>
    <w:p w:rsidR="00FB576D" w:rsidRDefault="00FB576D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借鉴其他地区地下空间附加图则编制经验，将</w:t>
      </w:r>
      <w:r w:rsidR="006B1FB5">
        <w:rPr>
          <w:rFonts w:ascii="华文细黑" w:eastAsia="华文细黑" w:hAnsi="华文细黑" w:hint="eastAsia"/>
          <w:sz w:val="24"/>
          <w:szCs w:val="24"/>
        </w:rPr>
        <w:t>地下空间规划</w:t>
      </w:r>
      <w:r w:rsidRPr="00FB510D">
        <w:rPr>
          <w:rFonts w:ascii="华文细黑" w:eastAsia="华文细黑" w:hAnsi="华文细黑" w:hint="eastAsia"/>
          <w:sz w:val="24"/>
          <w:szCs w:val="24"/>
        </w:rPr>
        <w:t>管控要素分为强制性、引导性和实施运营三类以供参考。</w:t>
      </w:r>
    </w:p>
    <w:p w:rsidR="00B662F1" w:rsidRPr="00B662F1" w:rsidRDefault="00B662F1" w:rsidP="00C2225B">
      <w:pPr>
        <w:spacing w:line="360" w:lineRule="auto"/>
        <w:jc w:val="center"/>
        <w:rPr>
          <w:rFonts w:ascii="华文细黑" w:eastAsia="华文细黑" w:hAnsi="华文细黑"/>
          <w:szCs w:val="21"/>
        </w:rPr>
      </w:pPr>
      <w:r w:rsidRPr="00B662F1">
        <w:rPr>
          <w:rFonts w:ascii="华文细黑" w:eastAsia="华文细黑" w:hAnsi="华文细黑"/>
          <w:szCs w:val="21"/>
        </w:rPr>
        <w:t xml:space="preserve">表 </w:t>
      </w:r>
      <w:r w:rsidR="00B2470A" w:rsidRPr="00B662F1">
        <w:rPr>
          <w:rFonts w:ascii="华文细黑" w:eastAsia="华文细黑" w:hAnsi="华文细黑"/>
          <w:szCs w:val="21"/>
        </w:rPr>
        <w:fldChar w:fldCharType="begin"/>
      </w:r>
      <w:r w:rsidRPr="00B662F1">
        <w:rPr>
          <w:rFonts w:ascii="华文细黑" w:eastAsia="华文细黑" w:hAnsi="华文细黑"/>
          <w:szCs w:val="21"/>
        </w:rPr>
        <w:instrText xml:space="preserve"> SEQ 表格 \* ARABIC </w:instrText>
      </w:r>
      <w:r w:rsidR="00B2470A" w:rsidRPr="00B662F1">
        <w:rPr>
          <w:rFonts w:ascii="华文细黑" w:eastAsia="华文细黑" w:hAnsi="华文细黑"/>
          <w:szCs w:val="21"/>
        </w:rPr>
        <w:fldChar w:fldCharType="separate"/>
      </w:r>
      <w:r w:rsidR="00EE2215">
        <w:rPr>
          <w:rFonts w:ascii="华文细黑" w:eastAsia="华文细黑" w:hAnsi="华文细黑"/>
          <w:noProof/>
          <w:szCs w:val="21"/>
        </w:rPr>
        <w:t>2</w:t>
      </w:r>
      <w:r w:rsidR="00B2470A" w:rsidRPr="00B662F1">
        <w:rPr>
          <w:rFonts w:ascii="华文细黑" w:eastAsia="华文细黑" w:hAnsi="华文细黑"/>
          <w:szCs w:val="21"/>
        </w:rPr>
        <w:fldChar w:fldCharType="end"/>
      </w:r>
      <w:r w:rsidRPr="00B662F1">
        <w:rPr>
          <w:rFonts w:ascii="华文细黑" w:eastAsia="华文细黑" w:hAnsi="华文细黑" w:hint="eastAsia"/>
          <w:szCs w:val="21"/>
        </w:rPr>
        <w:t>地下空间规划管控要素分类表</w:t>
      </w:r>
    </w:p>
    <w:tbl>
      <w:tblPr>
        <w:tblW w:w="8787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29"/>
        <w:gridCol w:w="2929"/>
        <w:gridCol w:w="2929"/>
      </w:tblGrid>
      <w:tr w:rsidR="00B662F1" w:rsidRPr="00B662F1" w:rsidTr="00C2225B">
        <w:trPr>
          <w:divId w:val="465586621"/>
          <w:trHeight w:val="393"/>
          <w:jc w:val="center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62F1" w:rsidRPr="00B662F1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B662F1">
              <w:rPr>
                <w:rFonts w:ascii="华文细黑" w:eastAsia="华文细黑" w:hAnsi="华文细黑"/>
                <w:szCs w:val="21"/>
              </w:rPr>
              <w:t>强制性管控要素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62F1" w:rsidRPr="00B662F1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proofErr w:type="gramStart"/>
            <w:r w:rsidRPr="00B662F1">
              <w:rPr>
                <w:rFonts w:ascii="华文细黑" w:eastAsia="华文细黑" w:hAnsi="华文细黑"/>
                <w:szCs w:val="21"/>
              </w:rPr>
              <w:t>引导性管控</w:t>
            </w:r>
            <w:proofErr w:type="gramEnd"/>
            <w:r w:rsidRPr="00B662F1">
              <w:rPr>
                <w:rFonts w:ascii="华文细黑" w:eastAsia="华文细黑" w:hAnsi="华文细黑"/>
                <w:szCs w:val="21"/>
              </w:rPr>
              <w:t>要素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62F1" w:rsidRPr="00B662F1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B662F1">
              <w:rPr>
                <w:rFonts w:ascii="华文细黑" w:eastAsia="华文细黑" w:hAnsi="华文细黑"/>
                <w:szCs w:val="21"/>
              </w:rPr>
              <w:t>实施运营管控要素</w:t>
            </w:r>
          </w:p>
        </w:tc>
      </w:tr>
      <w:tr w:rsidR="00B662F1" w:rsidRPr="00B662F1" w:rsidTr="00E23737">
        <w:trPr>
          <w:divId w:val="465586621"/>
          <w:trHeight w:val="4132"/>
          <w:jc w:val="center"/>
        </w:trPr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地下空间</w:t>
            </w:r>
            <w:r w:rsidR="00111A5E" w:rsidRPr="00111A5E">
              <w:rPr>
                <w:rFonts w:ascii="华文细黑" w:eastAsia="华文细黑" w:hAnsi="华文细黑" w:hint="eastAsia"/>
                <w:szCs w:val="21"/>
              </w:rPr>
              <w:t>开发</w:t>
            </w:r>
            <w:r w:rsidRPr="00111A5E">
              <w:rPr>
                <w:rFonts w:ascii="华文细黑" w:eastAsia="华文细黑" w:hAnsi="华文细黑"/>
                <w:szCs w:val="21"/>
              </w:rPr>
              <w:t>范围（退界）</w:t>
            </w:r>
          </w:p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地下空间开发层数</w:t>
            </w:r>
          </w:p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地下空间开发深度</w:t>
            </w:r>
          </w:p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地下空间开发规模</w:t>
            </w:r>
          </w:p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地下空间开发功能</w:t>
            </w:r>
          </w:p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地下连通接口位置（人/车）</w:t>
            </w:r>
          </w:p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地下连通接口标高（人/车）</w:t>
            </w:r>
          </w:p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地下连通接口尺寸（人/车）</w:t>
            </w:r>
          </w:p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地下停车位规模</w:t>
            </w:r>
          </w:p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人防工程建筑面积</w:t>
            </w:r>
          </w:p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轨道交通安全控制线</w:t>
            </w:r>
          </w:p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综合管廊控制线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地下公共服务设施功能</w:t>
            </w:r>
          </w:p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地下公共服务设施规模</w:t>
            </w:r>
          </w:p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地下公共服务设施布局</w:t>
            </w:r>
          </w:p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地下通道空间布局（人/车）</w:t>
            </w:r>
          </w:p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下沉广场</w:t>
            </w:r>
            <w:r w:rsidR="00111A5E" w:rsidRPr="00111A5E">
              <w:rPr>
                <w:rFonts w:ascii="华文细黑" w:eastAsia="华文细黑" w:hAnsi="华文细黑" w:hint="eastAsia"/>
                <w:szCs w:val="21"/>
              </w:rPr>
              <w:t>位置</w:t>
            </w:r>
          </w:p>
          <w:p w:rsidR="00111A5E" w:rsidRPr="00111A5E" w:rsidRDefault="00111A5E" w:rsidP="00111A5E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垂直联系节点位置</w:t>
            </w:r>
          </w:p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地下空间景观环境设计</w:t>
            </w:r>
          </w:p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地下空间无障碍设计</w:t>
            </w:r>
          </w:p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地下空间标识设计</w:t>
            </w:r>
          </w:p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地下空间绿色生态技术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轨道交通安全保护要求</w:t>
            </w:r>
          </w:p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基坑工程安全保护要求</w:t>
            </w:r>
          </w:p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地下空间开发建设模式</w:t>
            </w:r>
          </w:p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地下空间连通实施要求</w:t>
            </w:r>
          </w:p>
          <w:p w:rsidR="00B662F1" w:rsidRPr="00111A5E" w:rsidRDefault="00B662F1" w:rsidP="00C2225B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地下公共通道运营要求</w:t>
            </w:r>
          </w:p>
          <w:p w:rsidR="00B662F1" w:rsidRPr="00111A5E" w:rsidRDefault="00B662F1" w:rsidP="00C2225B">
            <w:pPr>
              <w:widowControl/>
              <w:jc w:val="center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111A5E">
              <w:rPr>
                <w:rFonts w:ascii="华文细黑" w:eastAsia="华文细黑" w:hAnsi="华文细黑"/>
                <w:szCs w:val="21"/>
              </w:rPr>
              <w:t>下沉广场/中庭运营</w:t>
            </w:r>
            <w:r w:rsidRPr="00111A5E">
              <w:rPr>
                <w:rFonts w:ascii="华文细黑" w:eastAsia="华文细黑" w:hAnsi="华文细黑" w:cs="Arial"/>
                <w:color w:val="000000" w:themeColor="text1"/>
                <w:kern w:val="24"/>
                <w:szCs w:val="21"/>
              </w:rPr>
              <w:t>要求</w:t>
            </w:r>
          </w:p>
          <w:p w:rsidR="00B662F1" w:rsidRPr="00111A5E" w:rsidRDefault="00B662F1" w:rsidP="00C2225B">
            <w:pPr>
              <w:widowControl/>
              <w:jc w:val="center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111A5E">
              <w:rPr>
                <w:rFonts w:ascii="华文细黑" w:eastAsia="华文细黑" w:hAnsi="华文细黑" w:cs="Arial"/>
                <w:color w:val="000000" w:themeColor="text1"/>
                <w:kern w:val="24"/>
                <w:szCs w:val="21"/>
              </w:rPr>
              <w:t>地下停车管理运营要求</w:t>
            </w:r>
          </w:p>
          <w:p w:rsidR="00B662F1" w:rsidRPr="00111A5E" w:rsidRDefault="00B662F1" w:rsidP="00C2225B">
            <w:pPr>
              <w:widowControl/>
              <w:jc w:val="center"/>
              <w:rPr>
                <w:rFonts w:ascii="华文细黑" w:eastAsia="华文细黑" w:hAnsi="华文细黑" w:cs="Arial"/>
                <w:kern w:val="0"/>
                <w:szCs w:val="21"/>
              </w:rPr>
            </w:pPr>
            <w:r w:rsidRPr="00111A5E">
              <w:rPr>
                <w:rFonts w:ascii="华文细黑" w:eastAsia="华文细黑" w:hAnsi="华文细黑" w:cs="Arial"/>
                <w:color w:val="000000" w:themeColor="text1"/>
                <w:kern w:val="24"/>
                <w:szCs w:val="21"/>
              </w:rPr>
              <w:t>地下安全管理运营要求</w:t>
            </w:r>
          </w:p>
        </w:tc>
      </w:tr>
    </w:tbl>
    <w:p w:rsidR="00A87B90" w:rsidRDefault="00A87B90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 w:hint="eastAsia"/>
          <w:sz w:val="24"/>
          <w:szCs w:val="24"/>
        </w:rPr>
        <w:t>（2）规划管</w:t>
      </w:r>
      <w:proofErr w:type="gramStart"/>
      <w:r>
        <w:rPr>
          <w:rFonts w:ascii="华文细黑" w:eastAsia="华文细黑" w:hAnsi="华文细黑" w:hint="eastAsia"/>
          <w:sz w:val="24"/>
          <w:szCs w:val="24"/>
        </w:rPr>
        <w:t>控内容</w:t>
      </w:r>
      <w:proofErr w:type="gramEnd"/>
      <w:r>
        <w:rPr>
          <w:rFonts w:ascii="华文细黑" w:eastAsia="华文细黑" w:hAnsi="华文细黑" w:hint="eastAsia"/>
          <w:sz w:val="24"/>
          <w:szCs w:val="24"/>
        </w:rPr>
        <w:t>详细指引</w:t>
      </w:r>
    </w:p>
    <w:p w:rsidR="00AA13E0" w:rsidRPr="00B77AB6" w:rsidRDefault="00B77AB6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B77AB6">
        <w:rPr>
          <w:rFonts w:ascii="华文细黑" w:eastAsia="华文细黑" w:hAnsi="华文细黑" w:hint="eastAsia"/>
          <w:sz w:val="24"/>
          <w:szCs w:val="24"/>
        </w:rPr>
        <w:t>根据</w:t>
      </w:r>
      <w:r>
        <w:rPr>
          <w:rFonts w:ascii="华文细黑" w:eastAsia="华文细黑" w:hAnsi="华文细黑" w:hint="eastAsia"/>
          <w:sz w:val="24"/>
          <w:szCs w:val="24"/>
        </w:rPr>
        <w:t>临港新片区地下空间管控分区、系统分类、管控要素及</w:t>
      </w:r>
      <w:r w:rsidR="00362E4F">
        <w:rPr>
          <w:rFonts w:ascii="华文细黑" w:eastAsia="华文细黑" w:hAnsi="华文细黑" w:hint="eastAsia"/>
          <w:sz w:val="24"/>
          <w:szCs w:val="24"/>
        </w:rPr>
        <w:t>规划</w:t>
      </w:r>
      <w:r>
        <w:rPr>
          <w:rFonts w:ascii="华文细黑" w:eastAsia="华文细黑" w:hAnsi="华文细黑" w:hint="eastAsia"/>
          <w:sz w:val="24"/>
          <w:szCs w:val="24"/>
        </w:rPr>
        <w:t>指引内容，</w:t>
      </w:r>
      <w:r w:rsidR="00362E4F">
        <w:rPr>
          <w:rFonts w:ascii="华文细黑" w:eastAsia="华文细黑" w:hAnsi="华文细黑" w:hint="eastAsia"/>
          <w:sz w:val="24"/>
          <w:szCs w:val="24"/>
        </w:rPr>
        <w:t>形成地下空间规划管</w:t>
      </w:r>
      <w:proofErr w:type="gramStart"/>
      <w:r w:rsidR="00362E4F">
        <w:rPr>
          <w:rFonts w:ascii="华文细黑" w:eastAsia="华文细黑" w:hAnsi="华文细黑" w:hint="eastAsia"/>
          <w:sz w:val="24"/>
          <w:szCs w:val="24"/>
        </w:rPr>
        <w:t>控内容</w:t>
      </w:r>
      <w:proofErr w:type="gramEnd"/>
      <w:r w:rsidR="00362E4F">
        <w:rPr>
          <w:rFonts w:ascii="华文细黑" w:eastAsia="华文细黑" w:hAnsi="华文细黑" w:hint="eastAsia"/>
          <w:sz w:val="24"/>
          <w:szCs w:val="24"/>
        </w:rPr>
        <w:t>详细指引表</w:t>
      </w:r>
      <w:r w:rsidR="00593212">
        <w:rPr>
          <w:rFonts w:ascii="华文细黑" w:eastAsia="华文细黑" w:hAnsi="华文细黑" w:hint="eastAsia"/>
          <w:sz w:val="24"/>
          <w:szCs w:val="24"/>
        </w:rPr>
        <w:t>，参加附表</w:t>
      </w:r>
      <w:r w:rsidR="00362E4F">
        <w:rPr>
          <w:rFonts w:ascii="华文细黑" w:eastAsia="华文细黑" w:hAnsi="华文细黑" w:hint="eastAsia"/>
          <w:sz w:val="24"/>
          <w:szCs w:val="24"/>
        </w:rPr>
        <w:t>。</w:t>
      </w:r>
    </w:p>
    <w:p w:rsidR="00A87B90" w:rsidRDefault="00A87B90" w:rsidP="00637A38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bookmarkStart w:id="22" w:name="_Toc53312038"/>
      <w:bookmarkStart w:id="23" w:name="_Toc55203603"/>
      <w:r>
        <w:rPr>
          <w:rFonts w:ascii="华文细黑" w:eastAsia="华文细黑" w:hAnsi="华文细黑" w:hint="eastAsia"/>
          <w:sz w:val="24"/>
          <w:szCs w:val="24"/>
        </w:rPr>
        <w:t>（3）地下空间层高标准指引</w:t>
      </w:r>
    </w:p>
    <w:p w:rsidR="00FB576D" w:rsidRPr="00637A38" w:rsidRDefault="00637A38" w:rsidP="00637A38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>
        <w:rPr>
          <w:rFonts w:ascii="华文细黑" w:eastAsia="华文细黑" w:hAnsi="华文细黑" w:hint="eastAsia"/>
          <w:sz w:val="24"/>
          <w:szCs w:val="24"/>
        </w:rPr>
        <w:t>针对</w:t>
      </w:r>
      <w:r w:rsidR="00FB576D" w:rsidRPr="00637A38">
        <w:rPr>
          <w:rFonts w:ascii="华文细黑" w:eastAsia="华文细黑" w:hAnsi="华文细黑" w:hint="eastAsia"/>
          <w:sz w:val="24"/>
          <w:szCs w:val="24"/>
        </w:rPr>
        <w:t>地下空间</w:t>
      </w:r>
      <w:r>
        <w:rPr>
          <w:rFonts w:ascii="华文细黑" w:eastAsia="华文细黑" w:hAnsi="华文细黑" w:hint="eastAsia"/>
          <w:sz w:val="24"/>
          <w:szCs w:val="24"/>
        </w:rPr>
        <w:t>各类设施的</w:t>
      </w:r>
      <w:r w:rsidR="00FB576D" w:rsidRPr="00637A38">
        <w:rPr>
          <w:rFonts w:ascii="华文细黑" w:eastAsia="华文细黑" w:hAnsi="华文细黑" w:hint="eastAsia"/>
          <w:sz w:val="24"/>
          <w:szCs w:val="24"/>
        </w:rPr>
        <w:t>层高</w:t>
      </w:r>
      <w:r>
        <w:rPr>
          <w:rFonts w:ascii="华文细黑" w:eastAsia="华文细黑" w:hAnsi="华文细黑" w:hint="eastAsia"/>
          <w:sz w:val="24"/>
          <w:szCs w:val="24"/>
        </w:rPr>
        <w:t>，应符合以下</w:t>
      </w:r>
      <w:r w:rsidR="00FB576D" w:rsidRPr="00637A38">
        <w:rPr>
          <w:rFonts w:ascii="华文细黑" w:eastAsia="华文细黑" w:hAnsi="华文细黑" w:hint="eastAsia"/>
          <w:sz w:val="24"/>
          <w:szCs w:val="24"/>
        </w:rPr>
        <w:t>标准指引</w:t>
      </w:r>
      <w:bookmarkEnd w:id="22"/>
      <w:bookmarkEnd w:id="23"/>
      <w:r>
        <w:rPr>
          <w:rFonts w:ascii="华文细黑" w:eastAsia="华文细黑" w:hAnsi="华文细黑" w:hint="eastAsia"/>
          <w:sz w:val="24"/>
          <w:szCs w:val="24"/>
        </w:rPr>
        <w:t>：</w:t>
      </w:r>
    </w:p>
    <w:p w:rsidR="00B662F1" w:rsidRPr="00A87B90" w:rsidRDefault="00B662F1" w:rsidP="00A87B90">
      <w:pPr>
        <w:pStyle w:val="a3"/>
        <w:numPr>
          <w:ilvl w:val="0"/>
          <w:numId w:val="30"/>
        </w:numPr>
        <w:spacing w:line="360" w:lineRule="auto"/>
        <w:ind w:firstLineChars="0"/>
        <w:rPr>
          <w:rFonts w:ascii="华文细黑" w:eastAsia="华文细黑" w:hAnsi="华文细黑"/>
          <w:sz w:val="24"/>
          <w:szCs w:val="24"/>
        </w:rPr>
      </w:pPr>
      <w:r w:rsidRPr="00A87B90">
        <w:rPr>
          <w:rFonts w:ascii="华文细黑" w:eastAsia="华文细黑" w:hAnsi="华文细黑" w:hint="eastAsia"/>
          <w:sz w:val="24"/>
          <w:szCs w:val="24"/>
        </w:rPr>
        <w:t>地下商业层高宜为</w:t>
      </w:r>
      <w:r w:rsidRPr="00A87B90">
        <w:rPr>
          <w:rFonts w:ascii="华文细黑" w:eastAsia="华文细黑" w:hAnsi="华文细黑"/>
          <w:sz w:val="24"/>
          <w:szCs w:val="24"/>
        </w:rPr>
        <w:t>5.0~6.0米，净高不低于3.6米。</w:t>
      </w:r>
    </w:p>
    <w:p w:rsidR="00B662F1" w:rsidRPr="00A87B90" w:rsidRDefault="00B662F1" w:rsidP="00A87B90">
      <w:pPr>
        <w:pStyle w:val="a3"/>
        <w:numPr>
          <w:ilvl w:val="0"/>
          <w:numId w:val="30"/>
        </w:numPr>
        <w:spacing w:line="360" w:lineRule="auto"/>
        <w:ind w:firstLineChars="0"/>
        <w:rPr>
          <w:rFonts w:ascii="华文细黑" w:eastAsia="华文细黑" w:hAnsi="华文细黑"/>
          <w:sz w:val="24"/>
          <w:szCs w:val="24"/>
        </w:rPr>
      </w:pPr>
      <w:r w:rsidRPr="00A87B90">
        <w:rPr>
          <w:rFonts w:ascii="华文细黑" w:eastAsia="华文细黑" w:hAnsi="华文细黑" w:hint="eastAsia"/>
          <w:sz w:val="24"/>
          <w:szCs w:val="24"/>
        </w:rPr>
        <w:t>地下停车库层高宜为</w:t>
      </w:r>
      <w:r w:rsidRPr="00A87B90">
        <w:rPr>
          <w:rFonts w:ascii="华文细黑" w:eastAsia="华文细黑" w:hAnsi="华文细黑"/>
          <w:sz w:val="24"/>
          <w:szCs w:val="24"/>
        </w:rPr>
        <w:t>3.9米（无人防）或4.2米（有人防），净高不低于2.2米。</w:t>
      </w:r>
    </w:p>
    <w:p w:rsidR="00B662F1" w:rsidRPr="00B662F1" w:rsidRDefault="00B662F1" w:rsidP="00A87B90">
      <w:pPr>
        <w:pStyle w:val="a3"/>
        <w:numPr>
          <w:ilvl w:val="0"/>
          <w:numId w:val="30"/>
        </w:numPr>
        <w:spacing w:line="360" w:lineRule="auto"/>
        <w:ind w:firstLineChars="0"/>
        <w:rPr>
          <w:rFonts w:ascii="华文细黑" w:eastAsia="华文细黑" w:hAnsi="华文细黑"/>
          <w:sz w:val="24"/>
          <w:szCs w:val="24"/>
        </w:rPr>
      </w:pPr>
      <w:r w:rsidRPr="00B662F1">
        <w:rPr>
          <w:rFonts w:ascii="华文细黑" w:eastAsia="华文细黑" w:hAnsi="华文细黑" w:hint="eastAsia"/>
          <w:sz w:val="24"/>
          <w:szCs w:val="24"/>
        </w:rPr>
        <w:t>地下人行通道的通行净宽一般不宜小于</w:t>
      </w:r>
      <w:r w:rsidRPr="00B662F1">
        <w:rPr>
          <w:rFonts w:ascii="华文细黑" w:eastAsia="华文细黑" w:hAnsi="华文细黑"/>
          <w:sz w:val="24"/>
          <w:szCs w:val="24"/>
        </w:rPr>
        <w:t>4米，设有单侧商业设施的不应小于6米，设有双侧商业设施的不</w:t>
      </w:r>
      <w:r w:rsidR="00CA5E14">
        <w:rPr>
          <w:rFonts w:ascii="华文细黑" w:eastAsia="华文细黑" w:hAnsi="华文细黑" w:hint="eastAsia"/>
          <w:sz w:val="24"/>
          <w:szCs w:val="24"/>
        </w:rPr>
        <w:t>宜</w:t>
      </w:r>
      <w:r w:rsidRPr="00B662F1">
        <w:rPr>
          <w:rFonts w:ascii="华文细黑" w:eastAsia="华文细黑" w:hAnsi="华文细黑"/>
          <w:sz w:val="24"/>
          <w:szCs w:val="24"/>
        </w:rPr>
        <w:t>小于8米。</w:t>
      </w:r>
    </w:p>
    <w:p w:rsidR="00B662F1" w:rsidRPr="00B662F1" w:rsidRDefault="00B662F1" w:rsidP="00A87B90">
      <w:pPr>
        <w:pStyle w:val="a3"/>
        <w:numPr>
          <w:ilvl w:val="0"/>
          <w:numId w:val="30"/>
        </w:numPr>
        <w:spacing w:line="360" w:lineRule="auto"/>
        <w:ind w:firstLineChars="0"/>
        <w:rPr>
          <w:rFonts w:ascii="华文细黑" w:eastAsia="华文细黑" w:hAnsi="华文细黑"/>
          <w:sz w:val="24"/>
          <w:szCs w:val="24"/>
        </w:rPr>
      </w:pPr>
      <w:r w:rsidRPr="00B662F1">
        <w:rPr>
          <w:rFonts w:ascii="华文细黑" w:eastAsia="华文细黑" w:hAnsi="华文细黑" w:hint="eastAsia"/>
          <w:sz w:val="24"/>
          <w:szCs w:val="24"/>
        </w:rPr>
        <w:t>地下人行通道净高不</w:t>
      </w:r>
      <w:r w:rsidR="00CA5E14">
        <w:rPr>
          <w:rFonts w:ascii="华文细黑" w:eastAsia="华文细黑" w:hAnsi="华文细黑" w:hint="eastAsia"/>
          <w:sz w:val="24"/>
          <w:szCs w:val="24"/>
        </w:rPr>
        <w:t>宜</w:t>
      </w:r>
      <w:r w:rsidRPr="00B662F1">
        <w:rPr>
          <w:rFonts w:ascii="华文细黑" w:eastAsia="华文细黑" w:hAnsi="华文细黑" w:hint="eastAsia"/>
          <w:sz w:val="24"/>
          <w:szCs w:val="24"/>
        </w:rPr>
        <w:t>小于</w:t>
      </w:r>
      <w:r w:rsidRPr="00B662F1">
        <w:rPr>
          <w:rFonts w:ascii="华文细黑" w:eastAsia="华文细黑" w:hAnsi="华文细黑"/>
          <w:sz w:val="24"/>
          <w:szCs w:val="24"/>
        </w:rPr>
        <w:t>3米，设有商业等设施时不宜小于3.5米，若局部构造上确有困难的，在保证消防安全的条件下，净空高度不应小于2.2米。</w:t>
      </w:r>
    </w:p>
    <w:p w:rsidR="00B662F1" w:rsidRPr="00B662F1" w:rsidRDefault="00B662F1" w:rsidP="00A87B90">
      <w:pPr>
        <w:pStyle w:val="a3"/>
        <w:numPr>
          <w:ilvl w:val="0"/>
          <w:numId w:val="30"/>
        </w:numPr>
        <w:spacing w:line="360" w:lineRule="auto"/>
        <w:ind w:firstLineChars="0"/>
        <w:rPr>
          <w:rFonts w:ascii="华文细黑" w:eastAsia="华文细黑" w:hAnsi="华文细黑"/>
          <w:sz w:val="24"/>
          <w:szCs w:val="24"/>
        </w:rPr>
      </w:pPr>
      <w:r w:rsidRPr="00B662F1">
        <w:rPr>
          <w:rFonts w:ascii="华文细黑" w:eastAsia="华文细黑" w:hAnsi="华文细黑" w:hint="eastAsia"/>
          <w:sz w:val="24"/>
          <w:szCs w:val="24"/>
        </w:rPr>
        <w:t>地下车行</w:t>
      </w:r>
      <w:r w:rsidR="009A69D7">
        <w:rPr>
          <w:rFonts w:ascii="华文细黑" w:eastAsia="华文细黑" w:hAnsi="华文细黑" w:hint="eastAsia"/>
          <w:sz w:val="24"/>
          <w:szCs w:val="24"/>
        </w:rPr>
        <w:t>道</w:t>
      </w:r>
      <w:r w:rsidRPr="00B662F1">
        <w:rPr>
          <w:rFonts w:ascii="华文细黑" w:eastAsia="华文细黑" w:hAnsi="华文细黑" w:hint="eastAsia"/>
          <w:sz w:val="24"/>
          <w:szCs w:val="24"/>
        </w:rPr>
        <w:t>路为连接地面道路和地下车库的小型客车集散道路，限高定为</w:t>
      </w:r>
      <w:r w:rsidRPr="00B662F1">
        <w:rPr>
          <w:rFonts w:ascii="华文细黑" w:eastAsia="华文细黑" w:hAnsi="华文细黑"/>
          <w:sz w:val="24"/>
          <w:szCs w:val="24"/>
        </w:rPr>
        <w:t>3.0米，通行净空为3.2米，单车道宽度宜为3.25米，最低3.0米。</w:t>
      </w:r>
    </w:p>
    <w:p w:rsidR="00B662F1" w:rsidRPr="00B662F1" w:rsidRDefault="00B662F1" w:rsidP="00A87B90">
      <w:pPr>
        <w:pStyle w:val="a3"/>
        <w:numPr>
          <w:ilvl w:val="0"/>
          <w:numId w:val="30"/>
        </w:numPr>
        <w:spacing w:line="360" w:lineRule="auto"/>
        <w:ind w:firstLineChars="0"/>
        <w:rPr>
          <w:rFonts w:ascii="华文细黑" w:eastAsia="华文细黑" w:hAnsi="华文细黑"/>
          <w:sz w:val="24"/>
          <w:szCs w:val="24"/>
        </w:rPr>
      </w:pPr>
      <w:r w:rsidRPr="00B662F1">
        <w:rPr>
          <w:rFonts w:ascii="华文细黑" w:eastAsia="华文细黑" w:hAnsi="华文细黑" w:hint="eastAsia"/>
          <w:sz w:val="24"/>
          <w:szCs w:val="24"/>
        </w:rPr>
        <w:t>道路下方管线敷设层厚度不低于</w:t>
      </w:r>
      <w:r w:rsidRPr="00B662F1">
        <w:rPr>
          <w:rFonts w:ascii="华文细黑" w:eastAsia="华文细黑" w:hAnsi="华文细黑"/>
          <w:sz w:val="24"/>
          <w:szCs w:val="24"/>
        </w:rPr>
        <w:t>2.5米（支路）和3.0米（次干道/主干道），另外需满足重力流排水系统和能源管沟的敷设要求。</w:t>
      </w:r>
    </w:p>
    <w:p w:rsidR="00B662F1" w:rsidRPr="00B662F1" w:rsidRDefault="00B662F1" w:rsidP="00A87B90">
      <w:pPr>
        <w:pStyle w:val="a3"/>
        <w:numPr>
          <w:ilvl w:val="0"/>
          <w:numId w:val="30"/>
        </w:numPr>
        <w:spacing w:line="360" w:lineRule="auto"/>
        <w:ind w:firstLineChars="0"/>
        <w:rPr>
          <w:rFonts w:ascii="华文细黑" w:eastAsia="华文细黑" w:hAnsi="华文细黑"/>
          <w:sz w:val="24"/>
          <w:szCs w:val="24"/>
        </w:rPr>
      </w:pPr>
      <w:r w:rsidRPr="00B662F1">
        <w:rPr>
          <w:rFonts w:ascii="华文细黑" w:eastAsia="华文细黑" w:hAnsi="华文细黑" w:hint="eastAsia"/>
          <w:sz w:val="24"/>
          <w:szCs w:val="24"/>
        </w:rPr>
        <w:t>地下空间应满足地面种植绿化的覆土深度要求，乔木不小于</w:t>
      </w:r>
      <w:r w:rsidRPr="00B662F1">
        <w:rPr>
          <w:rFonts w:ascii="华文细黑" w:eastAsia="华文细黑" w:hAnsi="华文细黑"/>
          <w:sz w:val="24"/>
          <w:szCs w:val="24"/>
        </w:rPr>
        <w:t>1.5米，草和灌木为0.6~0.9米。</w:t>
      </w:r>
    </w:p>
    <w:p w:rsidR="00B662F1" w:rsidRPr="00B662F1" w:rsidRDefault="00B662F1" w:rsidP="00A87B90">
      <w:pPr>
        <w:pStyle w:val="a3"/>
        <w:numPr>
          <w:ilvl w:val="0"/>
          <w:numId w:val="30"/>
        </w:numPr>
        <w:spacing w:line="360" w:lineRule="auto"/>
        <w:ind w:firstLineChars="0"/>
        <w:rPr>
          <w:rFonts w:ascii="华文细黑" w:eastAsia="华文细黑" w:hAnsi="华文细黑"/>
          <w:sz w:val="24"/>
          <w:szCs w:val="24"/>
        </w:rPr>
      </w:pPr>
      <w:r w:rsidRPr="00B662F1">
        <w:rPr>
          <w:rFonts w:ascii="华文细黑" w:eastAsia="华文细黑" w:hAnsi="华文细黑" w:hint="eastAsia"/>
          <w:sz w:val="24"/>
          <w:szCs w:val="24"/>
        </w:rPr>
        <w:t>地下空间顶板需要</w:t>
      </w:r>
      <w:proofErr w:type="gramStart"/>
      <w:r w:rsidRPr="00B662F1">
        <w:rPr>
          <w:rFonts w:ascii="华文细黑" w:eastAsia="华文细黑" w:hAnsi="华文细黑" w:hint="eastAsia"/>
          <w:sz w:val="24"/>
          <w:szCs w:val="24"/>
        </w:rPr>
        <w:t>走设备</w:t>
      </w:r>
      <w:proofErr w:type="gramEnd"/>
      <w:r w:rsidRPr="00B662F1">
        <w:rPr>
          <w:rFonts w:ascii="华文细黑" w:eastAsia="华文细黑" w:hAnsi="华文细黑" w:hint="eastAsia"/>
          <w:sz w:val="24"/>
          <w:szCs w:val="24"/>
        </w:rPr>
        <w:t>管线的，应有不少于</w:t>
      </w:r>
      <w:r w:rsidRPr="00B662F1">
        <w:rPr>
          <w:rFonts w:ascii="华文细黑" w:eastAsia="华文细黑" w:hAnsi="华文细黑"/>
          <w:sz w:val="24"/>
          <w:szCs w:val="24"/>
        </w:rPr>
        <w:t>0.8米的覆土深度。</w:t>
      </w:r>
    </w:p>
    <w:p w:rsidR="00FB576D" w:rsidRPr="00B662F1" w:rsidRDefault="00B662F1" w:rsidP="00A87B90">
      <w:pPr>
        <w:pStyle w:val="a3"/>
        <w:numPr>
          <w:ilvl w:val="0"/>
          <w:numId w:val="30"/>
        </w:numPr>
        <w:spacing w:line="360" w:lineRule="auto"/>
        <w:ind w:firstLineChars="0"/>
        <w:rPr>
          <w:rFonts w:ascii="华文细黑" w:eastAsia="华文细黑" w:hAnsi="华文细黑"/>
          <w:sz w:val="24"/>
          <w:szCs w:val="24"/>
        </w:rPr>
      </w:pPr>
      <w:r w:rsidRPr="00B662F1">
        <w:rPr>
          <w:rFonts w:ascii="华文细黑" w:eastAsia="华文细黑" w:hAnsi="华文细黑" w:hint="eastAsia"/>
          <w:sz w:val="24"/>
          <w:szCs w:val="24"/>
        </w:rPr>
        <w:t>各类地下功能空间层高的设置，还应满足竖向避让协调原则，不得影响相邻地下设施的安全和运行。</w:t>
      </w:r>
    </w:p>
    <w:p w:rsidR="00FB576D" w:rsidRPr="00503AC8" w:rsidRDefault="00F945B7" w:rsidP="00C2225B">
      <w:pPr>
        <w:pStyle w:val="2"/>
        <w:rPr>
          <w:rFonts w:ascii="华文细黑" w:eastAsia="华文细黑" w:hAnsi="华文细黑"/>
        </w:rPr>
      </w:pPr>
      <w:bookmarkStart w:id="24" w:name="_Toc55729028"/>
      <w:r w:rsidRPr="00503AC8">
        <w:rPr>
          <w:rFonts w:ascii="华文细黑" w:eastAsia="华文细黑" w:hAnsi="华文细黑"/>
        </w:rPr>
        <w:t>4</w:t>
      </w:r>
      <w:r w:rsidR="00FB576D" w:rsidRPr="00503AC8">
        <w:rPr>
          <w:rFonts w:ascii="华文细黑" w:eastAsia="华文细黑" w:hAnsi="华文细黑"/>
        </w:rPr>
        <w:t>.2</w:t>
      </w:r>
      <w:r w:rsidR="00FB576D" w:rsidRPr="00503AC8">
        <w:rPr>
          <w:rFonts w:ascii="华文细黑" w:eastAsia="华文细黑" w:hAnsi="华文细黑" w:hint="eastAsia"/>
        </w:rPr>
        <w:t>地下空间</w:t>
      </w:r>
      <w:r w:rsidR="00936FB8" w:rsidRPr="00503AC8">
        <w:rPr>
          <w:rFonts w:ascii="华文细黑" w:eastAsia="华文细黑" w:hAnsi="华文细黑" w:hint="eastAsia"/>
        </w:rPr>
        <w:t>整体</w:t>
      </w:r>
      <w:r w:rsidR="00FB576D" w:rsidRPr="00503AC8">
        <w:rPr>
          <w:rFonts w:ascii="华文细黑" w:eastAsia="华文细黑" w:hAnsi="华文细黑" w:hint="eastAsia"/>
        </w:rPr>
        <w:t>开发</w:t>
      </w:r>
      <w:r w:rsidR="00B70902" w:rsidRPr="00503AC8">
        <w:rPr>
          <w:rFonts w:ascii="华文细黑" w:eastAsia="华文细黑" w:hAnsi="华文细黑" w:hint="eastAsia"/>
        </w:rPr>
        <w:t>指引</w:t>
      </w:r>
      <w:bookmarkEnd w:id="24"/>
    </w:p>
    <w:p w:rsidR="00FB576D" w:rsidRPr="00FB510D" w:rsidRDefault="00FB576D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在集中开发的区域，应当对地下空间进行统一规划、整体设计，通过城市设计、控</w:t>
      </w:r>
      <w:proofErr w:type="gramStart"/>
      <w:r w:rsidRPr="00FB510D">
        <w:rPr>
          <w:rFonts w:ascii="华文细黑" w:eastAsia="华文细黑" w:hAnsi="华文细黑" w:hint="eastAsia"/>
          <w:sz w:val="24"/>
          <w:szCs w:val="24"/>
        </w:rPr>
        <w:t>规</w:t>
      </w:r>
      <w:proofErr w:type="gramEnd"/>
      <w:r w:rsidRPr="00FB510D">
        <w:rPr>
          <w:rFonts w:ascii="华文细黑" w:eastAsia="华文细黑" w:hAnsi="华文细黑" w:hint="eastAsia"/>
          <w:sz w:val="24"/>
          <w:szCs w:val="24"/>
        </w:rPr>
        <w:t>附加图则和开发建设导则，规范</w:t>
      </w:r>
      <w:proofErr w:type="gramStart"/>
      <w:r w:rsidRPr="00FB510D">
        <w:rPr>
          <w:rFonts w:ascii="华文细黑" w:eastAsia="华文细黑" w:hAnsi="华文细黑" w:hint="eastAsia"/>
          <w:sz w:val="24"/>
          <w:szCs w:val="24"/>
        </w:rPr>
        <w:t>区域内地下空间</w:t>
      </w:r>
      <w:proofErr w:type="gramEnd"/>
      <w:r w:rsidRPr="00FB510D">
        <w:rPr>
          <w:rFonts w:ascii="华文细黑" w:eastAsia="华文细黑" w:hAnsi="华文细黑" w:hint="eastAsia"/>
          <w:sz w:val="24"/>
          <w:szCs w:val="24"/>
        </w:rPr>
        <w:t>建设行为</w:t>
      </w:r>
      <w:r w:rsidR="009A69D7">
        <w:rPr>
          <w:rFonts w:ascii="华文细黑" w:eastAsia="华文细黑" w:hAnsi="华文细黑" w:hint="eastAsia"/>
          <w:sz w:val="24"/>
          <w:szCs w:val="24"/>
        </w:rPr>
        <w:t>，通过城市设计可提出整体开发范围建议</w:t>
      </w:r>
      <w:r w:rsidRPr="00FB510D">
        <w:rPr>
          <w:rFonts w:ascii="华文细黑" w:eastAsia="华文细黑" w:hAnsi="华文细黑" w:hint="eastAsia"/>
          <w:sz w:val="24"/>
          <w:szCs w:val="24"/>
        </w:rPr>
        <w:t>。</w:t>
      </w:r>
    </w:p>
    <w:p w:rsidR="00FB576D" w:rsidRPr="00FB510D" w:rsidRDefault="00FB576D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鼓励实行区域地下空间整体开发建设</w:t>
      </w:r>
      <w:r w:rsidR="00CA5E14">
        <w:rPr>
          <w:rFonts w:ascii="华文细黑" w:eastAsia="华文细黑" w:hAnsi="华文细黑" w:hint="eastAsia"/>
          <w:sz w:val="24"/>
          <w:szCs w:val="24"/>
        </w:rPr>
        <w:t>，地下空间管控要素可适当弹性控制</w:t>
      </w:r>
      <w:r w:rsidRPr="00FB510D">
        <w:rPr>
          <w:rFonts w:ascii="华文细黑" w:eastAsia="华文细黑" w:hAnsi="华文细黑" w:hint="eastAsia"/>
          <w:sz w:val="24"/>
          <w:szCs w:val="24"/>
        </w:rPr>
        <w:t>。地上和地下建设用地使用权人</w:t>
      </w:r>
      <w:r w:rsidR="00CA5E14">
        <w:rPr>
          <w:rFonts w:ascii="华文细黑" w:eastAsia="华文细黑" w:hAnsi="华文细黑" w:hint="eastAsia"/>
          <w:sz w:val="24"/>
          <w:szCs w:val="24"/>
        </w:rPr>
        <w:t>及各地</w:t>
      </w:r>
      <w:proofErr w:type="gramStart"/>
      <w:r w:rsidR="00CA5E14">
        <w:rPr>
          <w:rFonts w:ascii="华文细黑" w:eastAsia="华文细黑" w:hAnsi="华文细黑" w:hint="eastAsia"/>
          <w:sz w:val="24"/>
          <w:szCs w:val="24"/>
        </w:rPr>
        <w:t>块权力</w:t>
      </w:r>
      <w:proofErr w:type="gramEnd"/>
      <w:r w:rsidR="00CA5E14">
        <w:rPr>
          <w:rFonts w:ascii="华文细黑" w:eastAsia="华文细黑" w:hAnsi="华文细黑" w:hint="eastAsia"/>
          <w:sz w:val="24"/>
          <w:szCs w:val="24"/>
        </w:rPr>
        <w:t>人，</w:t>
      </w:r>
      <w:r w:rsidRPr="00FB510D">
        <w:rPr>
          <w:rFonts w:ascii="华文细黑" w:eastAsia="华文细黑" w:hAnsi="华文细黑" w:hint="eastAsia"/>
          <w:sz w:val="24"/>
          <w:szCs w:val="24"/>
        </w:rPr>
        <w:t>应当在建设开发和使用过程中相互提供便利</w:t>
      </w:r>
      <w:r w:rsidR="00CA5E14">
        <w:rPr>
          <w:rFonts w:ascii="华文细黑" w:eastAsia="华文细黑" w:hAnsi="华文细黑" w:hint="eastAsia"/>
          <w:sz w:val="24"/>
          <w:szCs w:val="24"/>
        </w:rPr>
        <w:t>，</w:t>
      </w:r>
      <w:r w:rsidRPr="00FB510D">
        <w:rPr>
          <w:rFonts w:ascii="华文细黑" w:eastAsia="华文细黑" w:hAnsi="华文细黑" w:hint="eastAsia"/>
          <w:sz w:val="24"/>
          <w:szCs w:val="24"/>
        </w:rPr>
        <w:t>土地出让合同中，可以明确相邻关系的具体约定。</w:t>
      </w:r>
    </w:p>
    <w:p w:rsidR="00936FB8" w:rsidRPr="00503AC8" w:rsidRDefault="00F945B7" w:rsidP="00C2225B">
      <w:pPr>
        <w:pStyle w:val="2"/>
        <w:rPr>
          <w:rFonts w:ascii="华文细黑" w:eastAsia="华文细黑" w:hAnsi="华文细黑"/>
        </w:rPr>
      </w:pPr>
      <w:bookmarkStart w:id="25" w:name="_Toc55729029"/>
      <w:r w:rsidRPr="00503AC8">
        <w:rPr>
          <w:rFonts w:ascii="华文细黑" w:eastAsia="华文细黑" w:hAnsi="华文细黑"/>
        </w:rPr>
        <w:t>4</w:t>
      </w:r>
      <w:r w:rsidR="00936FB8" w:rsidRPr="00503AC8">
        <w:rPr>
          <w:rFonts w:ascii="华文细黑" w:eastAsia="华文细黑" w:hAnsi="华文细黑"/>
        </w:rPr>
        <w:t>.3</w:t>
      </w:r>
      <w:r w:rsidR="00936FB8" w:rsidRPr="00503AC8">
        <w:rPr>
          <w:rFonts w:ascii="华文细黑" w:eastAsia="华文细黑" w:hAnsi="华文细黑" w:hint="eastAsia"/>
        </w:rPr>
        <w:t>地下空间规划管理保障</w:t>
      </w:r>
      <w:bookmarkEnd w:id="25"/>
    </w:p>
    <w:p w:rsidR="00CA5E14" w:rsidRPr="00072B40" w:rsidRDefault="00CA5E14" w:rsidP="00CA5E14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072B40">
        <w:rPr>
          <w:rFonts w:ascii="华文细黑" w:eastAsia="华文细黑" w:hAnsi="华文细黑" w:hint="eastAsia"/>
          <w:sz w:val="24"/>
          <w:szCs w:val="24"/>
        </w:rPr>
        <w:t>根据《上海市地下建设用地使用权出让规定》地下建设用地使用权出让前，规划资源部门应当根据控制性详细规划核定地下建设规划条件，地下建设规划条件应当纳入土地出让合同。</w:t>
      </w:r>
    </w:p>
    <w:p w:rsidR="00CA5E14" w:rsidRPr="00072B40" w:rsidRDefault="00CA5E14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072B40">
        <w:rPr>
          <w:rFonts w:ascii="华文细黑" w:eastAsia="华文细黑" w:hAnsi="华文细黑" w:hint="eastAsia"/>
          <w:sz w:val="24"/>
          <w:szCs w:val="24"/>
        </w:rPr>
        <w:t>综合各类相关专项规划，统筹安排地下空间，并编制地下空间专项规划。依据本导则</w:t>
      </w:r>
      <w:r w:rsidRPr="00072B40">
        <w:rPr>
          <w:rFonts w:ascii="华文细黑" w:eastAsia="华文细黑" w:hAnsi="华文细黑"/>
          <w:sz w:val="24"/>
          <w:szCs w:val="24"/>
        </w:rPr>
        <w:t>，</w:t>
      </w:r>
      <w:r w:rsidRPr="00072B40">
        <w:rPr>
          <w:rFonts w:ascii="华文细黑" w:eastAsia="华文细黑" w:hAnsi="华文细黑" w:hint="eastAsia"/>
          <w:sz w:val="24"/>
          <w:szCs w:val="24"/>
        </w:rPr>
        <w:t>通过</w:t>
      </w:r>
      <w:r w:rsidRPr="00072B40">
        <w:rPr>
          <w:rFonts w:ascii="华文细黑" w:eastAsia="华文细黑" w:hAnsi="华文细黑"/>
          <w:sz w:val="24"/>
          <w:szCs w:val="24"/>
        </w:rPr>
        <w:t>城市设计</w:t>
      </w:r>
      <w:r w:rsidRPr="00072B40">
        <w:rPr>
          <w:rFonts w:ascii="华文细黑" w:eastAsia="华文细黑" w:hAnsi="华文细黑" w:hint="eastAsia"/>
          <w:sz w:val="24"/>
          <w:szCs w:val="24"/>
        </w:rPr>
        <w:t>落实地下空间专项规划要求，并</w:t>
      </w:r>
      <w:r w:rsidRPr="00072B40">
        <w:rPr>
          <w:rFonts w:ascii="华文细黑" w:eastAsia="华文细黑" w:hAnsi="华文细黑"/>
          <w:sz w:val="24"/>
          <w:szCs w:val="24"/>
        </w:rPr>
        <w:t>以附加图则的形式纳入</w:t>
      </w:r>
      <w:r w:rsidRPr="00072B40">
        <w:rPr>
          <w:rFonts w:ascii="华文细黑" w:eastAsia="华文细黑" w:hAnsi="华文细黑" w:hint="eastAsia"/>
          <w:sz w:val="24"/>
          <w:szCs w:val="24"/>
        </w:rPr>
        <w:t>控制性详细规划</w:t>
      </w:r>
      <w:r w:rsidRPr="00072B40">
        <w:rPr>
          <w:rFonts w:ascii="华文细黑" w:eastAsia="华文细黑" w:hAnsi="华文细黑"/>
          <w:sz w:val="24"/>
          <w:szCs w:val="24"/>
        </w:rPr>
        <w:t>。</w:t>
      </w:r>
    </w:p>
    <w:p w:rsidR="00936FB8" w:rsidRPr="00FB510D" w:rsidRDefault="00936FB8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贯彻实施《上海市地下空间规划建设条例》，在新片区管委会内明确地下空间规划建设和管理职责分工，强化规划、设计、建设的全过程跟踪和多部门、多专业协同，注重公众参与。明确地下空间开发利用的管理机制和决策协同机制，为新片区地下空间的合理有序开发提供良好的机制保障。</w:t>
      </w:r>
    </w:p>
    <w:p w:rsidR="00936FB8" w:rsidRPr="00FB510D" w:rsidRDefault="00936FB8" w:rsidP="00C2225B">
      <w:pPr>
        <w:spacing w:line="360" w:lineRule="auto"/>
        <w:ind w:firstLineChars="200" w:firstLine="480"/>
        <w:rPr>
          <w:rFonts w:ascii="华文细黑" w:eastAsia="华文细黑" w:hAnsi="华文细黑"/>
          <w:sz w:val="24"/>
          <w:szCs w:val="24"/>
        </w:rPr>
      </w:pPr>
      <w:r w:rsidRPr="00FB510D">
        <w:rPr>
          <w:rFonts w:ascii="华文细黑" w:eastAsia="华文细黑" w:hAnsi="华文细黑" w:hint="eastAsia"/>
          <w:sz w:val="24"/>
          <w:szCs w:val="24"/>
        </w:rPr>
        <w:t>结合临港新片区智慧城市平台建设工作，完善城市规划管理内容和功能，纳入地质、管线、地下构筑物等信息，建立地上地下一体化的精细化管理平台，建成面向专业研究的基础工作平台、面向政府规划管理的三维可视化决策支持平台、面向社会公众的信息共享服务平台，为立体国土、立体城市相关应用系统和服务提供坚实的数据支撑。</w:t>
      </w:r>
    </w:p>
    <w:sectPr w:rsidR="00936FB8" w:rsidRPr="00FB510D" w:rsidSect="00075F07">
      <w:pgSz w:w="12240" w:h="15840"/>
      <w:pgMar w:top="1440" w:right="1800" w:bottom="1440" w:left="1800" w:header="720" w:footer="72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5F9" w:rsidRDefault="00A555F9"/>
  </w:endnote>
  <w:endnote w:type="continuationSeparator" w:id="0">
    <w:p w:rsidR="00A555F9" w:rsidRDefault="00A555F9"/>
  </w:endnote>
  <w:endnote w:type="continuationNotice" w:id="1">
    <w:p w:rsidR="00A555F9" w:rsidRDefault="00A555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1574184"/>
      <w:docPartObj>
        <w:docPartGallery w:val="Page Numbers (Bottom of Page)"/>
        <w:docPartUnique/>
      </w:docPartObj>
    </w:sdtPr>
    <w:sdtEndPr/>
    <w:sdtContent>
      <w:p w:rsidR="00F110CE" w:rsidRDefault="00B2470A">
        <w:pPr>
          <w:pStyle w:val="a7"/>
          <w:jc w:val="center"/>
        </w:pPr>
        <w:r>
          <w:fldChar w:fldCharType="begin"/>
        </w:r>
        <w:r w:rsidR="00F110CE">
          <w:instrText>PAGE   \* MERGEFORMAT</w:instrText>
        </w:r>
        <w:r>
          <w:fldChar w:fldCharType="separate"/>
        </w:r>
        <w:r w:rsidR="00A634EF" w:rsidRPr="00A634EF">
          <w:rPr>
            <w:noProof/>
            <w:lang w:val="zh-CN"/>
          </w:rPr>
          <w:t>12</w:t>
        </w:r>
        <w:r>
          <w:fldChar w:fldCharType="end"/>
        </w:r>
      </w:p>
    </w:sdtContent>
  </w:sdt>
  <w:p w:rsidR="00F110CE" w:rsidRDefault="00F110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5F9" w:rsidRDefault="00A555F9">
      <w:pPr>
        <w:pStyle w:val="a7"/>
      </w:pPr>
    </w:p>
    <w:p w:rsidR="00A555F9" w:rsidRDefault="00A555F9"/>
    <w:p w:rsidR="00A555F9" w:rsidRDefault="00A555F9" w:rsidP="00A07F2D">
      <w:r>
        <w:continuationSeparator/>
      </w:r>
    </w:p>
    <w:p w:rsidR="00A555F9" w:rsidRDefault="00A555F9"/>
    <w:p w:rsidR="00A555F9" w:rsidRDefault="00A555F9" w:rsidP="00A07F2D">
      <w:r>
        <w:separator/>
      </w:r>
    </w:p>
    <w:p w:rsidR="00A555F9" w:rsidRDefault="00A555F9"/>
    <w:p w:rsidR="00A555F9" w:rsidRDefault="00A555F9" w:rsidP="00A07F2D">
      <w:r>
        <w:continuationSeparator/>
      </w:r>
    </w:p>
    <w:p w:rsidR="00A555F9" w:rsidRDefault="00A555F9"/>
    <w:p w:rsidR="00A555F9" w:rsidRDefault="00A555F9">
      <w:pPr>
        <w:pStyle w:val="a7"/>
      </w:pPr>
    </w:p>
    <w:p w:rsidR="00A555F9" w:rsidRDefault="00A555F9"/>
    <w:p w:rsidR="00A555F9" w:rsidRDefault="00A555F9">
      <w:pPr>
        <w:pStyle w:val="a6"/>
      </w:pPr>
    </w:p>
    <w:p w:rsidR="00A555F9" w:rsidRDefault="00A555F9"/>
    <w:p w:rsidR="00A555F9" w:rsidRDefault="00A555F9">
      <w:pPr>
        <w:pStyle w:val="a7"/>
      </w:pPr>
    </w:p>
    <w:p w:rsidR="00A555F9" w:rsidRDefault="00A555F9"/>
    <w:p w:rsidR="00A555F9" w:rsidRDefault="00A555F9">
      <w:pPr>
        <w:pStyle w:val="a7"/>
      </w:pPr>
    </w:p>
    <w:p w:rsidR="00A555F9" w:rsidRDefault="00A555F9"/>
    <w:p w:rsidR="00A555F9" w:rsidRDefault="00A555F9">
      <w:pPr>
        <w:pStyle w:val="a6"/>
      </w:pPr>
    </w:p>
    <w:p w:rsidR="00A555F9" w:rsidRDefault="00A555F9"/>
    <w:p w:rsidR="00A555F9" w:rsidRDefault="00A555F9">
      <w:pPr>
        <w:pStyle w:val="a6"/>
      </w:pPr>
    </w:p>
    <w:p w:rsidR="00A555F9" w:rsidRDefault="00A555F9"/>
    <w:p w:rsidR="00A555F9" w:rsidRDefault="00A555F9" w:rsidP="00A07F2D">
      <w:r>
        <w:continuationSeparator/>
      </w:r>
    </w:p>
    <w:p w:rsidR="00A555F9" w:rsidRDefault="00A555F9"/>
    <w:p w:rsidR="00A555F9" w:rsidRDefault="00A555F9" w:rsidP="00A07F2D">
      <w:r>
        <w:separator/>
      </w:r>
    </w:p>
    <w:p w:rsidR="00A555F9" w:rsidRDefault="00A555F9"/>
    <w:p w:rsidR="00A555F9" w:rsidRDefault="00A555F9" w:rsidP="00A07F2D">
      <w:r>
        <w:continuationSeparator/>
      </w:r>
    </w:p>
    <w:p w:rsidR="00A555F9" w:rsidRDefault="00A555F9"/>
  </w:footnote>
  <w:footnote w:type="continuationSeparator" w:id="0">
    <w:p w:rsidR="00A555F9" w:rsidRDefault="00A555F9"/>
  </w:footnote>
  <w:footnote w:type="continuationNotice" w:id="1">
    <w:p w:rsidR="00A555F9" w:rsidRDefault="00A555F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AC2" w:rsidRDefault="00192AC2" w:rsidP="00192AC2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7692C"/>
    <w:multiLevelType w:val="hybridMultilevel"/>
    <w:tmpl w:val="03A884D4"/>
    <w:lvl w:ilvl="0" w:tplc="2E48C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4E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96C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7EE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AE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A8D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14D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440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84A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D54A73"/>
    <w:multiLevelType w:val="hybridMultilevel"/>
    <w:tmpl w:val="A5EE2082"/>
    <w:lvl w:ilvl="0" w:tplc="9A60E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F05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B00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00A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E09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ACC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1EC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682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90D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993234"/>
    <w:multiLevelType w:val="hybridMultilevel"/>
    <w:tmpl w:val="44140AE6"/>
    <w:lvl w:ilvl="0" w:tplc="549EBE6C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34021B6"/>
    <w:multiLevelType w:val="hybridMultilevel"/>
    <w:tmpl w:val="F8825078"/>
    <w:lvl w:ilvl="0" w:tplc="7F1AA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1A3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49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206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ED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A1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26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FA8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8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8E0946"/>
    <w:multiLevelType w:val="hybridMultilevel"/>
    <w:tmpl w:val="F3802CFE"/>
    <w:lvl w:ilvl="0" w:tplc="76146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D21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E62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CE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662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40A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E1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EE2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C28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3A106D"/>
    <w:multiLevelType w:val="hybridMultilevel"/>
    <w:tmpl w:val="CE36A9C2"/>
    <w:lvl w:ilvl="0" w:tplc="24622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206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F46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883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B2B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F49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90C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D8B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E6A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454411"/>
    <w:multiLevelType w:val="hybridMultilevel"/>
    <w:tmpl w:val="E8105138"/>
    <w:lvl w:ilvl="0" w:tplc="2AA20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42E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38E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020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403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825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80A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763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AE3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9B1AEA"/>
    <w:multiLevelType w:val="hybridMultilevel"/>
    <w:tmpl w:val="7C58E35C"/>
    <w:lvl w:ilvl="0" w:tplc="E272A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A29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3CA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A3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88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4CB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963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4C8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908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9CD6468"/>
    <w:multiLevelType w:val="hybridMultilevel"/>
    <w:tmpl w:val="3F2AA4C8"/>
    <w:lvl w:ilvl="0" w:tplc="7B30736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2AF64D9C"/>
    <w:multiLevelType w:val="hybridMultilevel"/>
    <w:tmpl w:val="1C0A1458"/>
    <w:lvl w:ilvl="0" w:tplc="D48A5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D24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D05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A07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905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C22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42C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EEF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F27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5FE7EF8"/>
    <w:multiLevelType w:val="hybridMultilevel"/>
    <w:tmpl w:val="A814796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A4059D9"/>
    <w:multiLevelType w:val="hybridMultilevel"/>
    <w:tmpl w:val="50E276E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F360FB"/>
    <w:multiLevelType w:val="hybridMultilevel"/>
    <w:tmpl w:val="A2284E4C"/>
    <w:lvl w:ilvl="0" w:tplc="38686E0A">
      <w:start w:val="1"/>
      <w:numFmt w:val="decimal"/>
      <w:lvlText w:val="（%1）"/>
      <w:lvlJc w:val="left"/>
      <w:pPr>
        <w:ind w:left="90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482F688E"/>
    <w:multiLevelType w:val="hybridMultilevel"/>
    <w:tmpl w:val="A67C755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69766C"/>
    <w:multiLevelType w:val="hybridMultilevel"/>
    <w:tmpl w:val="BE6492BC"/>
    <w:lvl w:ilvl="0" w:tplc="BA4C9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E89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6AE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76F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1A4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7E2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0B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6C1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AD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5462AC2"/>
    <w:multiLevelType w:val="hybridMultilevel"/>
    <w:tmpl w:val="36D265E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5A885AD9"/>
    <w:multiLevelType w:val="hybridMultilevel"/>
    <w:tmpl w:val="F71A2EF2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654131"/>
    <w:multiLevelType w:val="hybridMultilevel"/>
    <w:tmpl w:val="7CD2E682"/>
    <w:lvl w:ilvl="0" w:tplc="C436B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2B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BC6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1A8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088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120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28F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869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F4A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DB36C50"/>
    <w:multiLevelType w:val="hybridMultilevel"/>
    <w:tmpl w:val="2BEA05AA"/>
    <w:lvl w:ilvl="0" w:tplc="960CD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7C1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45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1A0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22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45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2B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462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382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F0925DE"/>
    <w:multiLevelType w:val="hybridMultilevel"/>
    <w:tmpl w:val="C97E9996"/>
    <w:lvl w:ilvl="0" w:tplc="549EBE6C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61F36C0F"/>
    <w:multiLevelType w:val="hybridMultilevel"/>
    <w:tmpl w:val="875C75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7B1B4F"/>
    <w:multiLevelType w:val="hybridMultilevel"/>
    <w:tmpl w:val="C0B09F44"/>
    <w:lvl w:ilvl="0" w:tplc="887ED04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 w15:restartNumberingAfterBreak="0">
    <w:nsid w:val="65960688"/>
    <w:multiLevelType w:val="hybridMultilevel"/>
    <w:tmpl w:val="986CDBD8"/>
    <w:lvl w:ilvl="0" w:tplc="20FCBFC0">
      <w:start w:val="1"/>
      <w:numFmt w:val="bullet"/>
      <w:lvlText w:val="•"/>
      <w:lvlJc w:val="left"/>
      <w:pPr>
        <w:ind w:left="90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6A62716A"/>
    <w:multiLevelType w:val="hybridMultilevel"/>
    <w:tmpl w:val="A48AB530"/>
    <w:lvl w:ilvl="0" w:tplc="65803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EAF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0A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EF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FE2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301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B2F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E2CF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C64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DD271E9"/>
    <w:multiLevelType w:val="hybridMultilevel"/>
    <w:tmpl w:val="4F9C8548"/>
    <w:lvl w:ilvl="0" w:tplc="ED627D88">
      <w:start w:val="1"/>
      <w:numFmt w:val="decimal"/>
      <w:lvlText w:val="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FED25C9"/>
    <w:multiLevelType w:val="hybridMultilevel"/>
    <w:tmpl w:val="8C5648BE"/>
    <w:lvl w:ilvl="0" w:tplc="549EBE6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0B4787E"/>
    <w:multiLevelType w:val="hybridMultilevel"/>
    <w:tmpl w:val="E9EA646A"/>
    <w:lvl w:ilvl="0" w:tplc="102A5A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3A01BF4"/>
    <w:multiLevelType w:val="hybridMultilevel"/>
    <w:tmpl w:val="0CBAB5C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7441249B"/>
    <w:multiLevelType w:val="hybridMultilevel"/>
    <w:tmpl w:val="2744CDEE"/>
    <w:lvl w:ilvl="0" w:tplc="A9440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AAE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BA4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B28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C25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0A6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AE9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542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6A6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8191677"/>
    <w:multiLevelType w:val="hybridMultilevel"/>
    <w:tmpl w:val="19FAD508"/>
    <w:lvl w:ilvl="0" w:tplc="20FCB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8CC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DE0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5CE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648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E05A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BA9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E48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BAA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96F7852"/>
    <w:multiLevelType w:val="hybridMultilevel"/>
    <w:tmpl w:val="730649D0"/>
    <w:lvl w:ilvl="0" w:tplc="DB7A8F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3"/>
  </w:num>
  <w:num w:numId="4">
    <w:abstractNumId w:val="25"/>
  </w:num>
  <w:num w:numId="5">
    <w:abstractNumId w:val="29"/>
  </w:num>
  <w:num w:numId="6">
    <w:abstractNumId w:val="4"/>
  </w:num>
  <w:num w:numId="7">
    <w:abstractNumId w:val="17"/>
  </w:num>
  <w:num w:numId="8">
    <w:abstractNumId w:val="22"/>
  </w:num>
  <w:num w:numId="9">
    <w:abstractNumId w:val="2"/>
  </w:num>
  <w:num w:numId="10">
    <w:abstractNumId w:val="12"/>
  </w:num>
  <w:num w:numId="11">
    <w:abstractNumId w:val="23"/>
  </w:num>
  <w:num w:numId="12">
    <w:abstractNumId w:val="0"/>
  </w:num>
  <w:num w:numId="13">
    <w:abstractNumId w:val="6"/>
  </w:num>
  <w:num w:numId="14">
    <w:abstractNumId w:val="3"/>
  </w:num>
  <w:num w:numId="15">
    <w:abstractNumId w:val="18"/>
  </w:num>
  <w:num w:numId="16">
    <w:abstractNumId w:val="7"/>
  </w:num>
  <w:num w:numId="17">
    <w:abstractNumId w:val="5"/>
  </w:num>
  <w:num w:numId="18">
    <w:abstractNumId w:val="28"/>
  </w:num>
  <w:num w:numId="19">
    <w:abstractNumId w:val="14"/>
  </w:num>
  <w:num w:numId="20">
    <w:abstractNumId w:val="9"/>
  </w:num>
  <w:num w:numId="21">
    <w:abstractNumId w:val="1"/>
  </w:num>
  <w:num w:numId="22">
    <w:abstractNumId w:val="19"/>
  </w:num>
  <w:num w:numId="23">
    <w:abstractNumId w:val="16"/>
  </w:num>
  <w:num w:numId="24">
    <w:abstractNumId w:val="20"/>
  </w:num>
  <w:num w:numId="25">
    <w:abstractNumId w:val="30"/>
  </w:num>
  <w:num w:numId="26">
    <w:abstractNumId w:val="21"/>
  </w:num>
  <w:num w:numId="27">
    <w:abstractNumId w:val="15"/>
  </w:num>
  <w:num w:numId="28">
    <w:abstractNumId w:val="10"/>
  </w:num>
  <w:num w:numId="29">
    <w:abstractNumId w:val="27"/>
  </w:num>
  <w:num w:numId="30">
    <w:abstractNumId w:val="2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grammar="clean"/>
  <w:documentProtection w:edit="readOnly" w:enforcement="1" w:cryptProviderType="rsaAES" w:cryptAlgorithmClass="hash" w:cryptAlgorithmType="typeAny" w:cryptAlgorithmSid="14" w:cryptSpinCount="100000" w:hash="VmSbV6C5N0W9sr4ixh9NukvVTqFCwrrYJg/t4H7y5pkw9tL6Bt9kCGypbYGFD8ebHiCPDC8Ur02LsrEtlPZSlQ==" w:salt="eaurBhEKlq7OoU8Slg4o+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3EE3"/>
    <w:rsid w:val="00015BF9"/>
    <w:rsid w:val="00021702"/>
    <w:rsid w:val="00047522"/>
    <w:rsid w:val="00056536"/>
    <w:rsid w:val="00057AFC"/>
    <w:rsid w:val="0006589D"/>
    <w:rsid w:val="00067CB9"/>
    <w:rsid w:val="00072B40"/>
    <w:rsid w:val="00073274"/>
    <w:rsid w:val="00075F07"/>
    <w:rsid w:val="000917BC"/>
    <w:rsid w:val="00095D32"/>
    <w:rsid w:val="000A5A79"/>
    <w:rsid w:val="000A5D2A"/>
    <w:rsid w:val="000C2089"/>
    <w:rsid w:val="000D02BB"/>
    <w:rsid w:val="00111A5E"/>
    <w:rsid w:val="00116999"/>
    <w:rsid w:val="00123A07"/>
    <w:rsid w:val="00124AA5"/>
    <w:rsid w:val="001375DA"/>
    <w:rsid w:val="00151354"/>
    <w:rsid w:val="00151CEA"/>
    <w:rsid w:val="001526DA"/>
    <w:rsid w:val="00161FE5"/>
    <w:rsid w:val="00163834"/>
    <w:rsid w:val="00165011"/>
    <w:rsid w:val="001668E1"/>
    <w:rsid w:val="00173EE3"/>
    <w:rsid w:val="00192AC2"/>
    <w:rsid w:val="001A1753"/>
    <w:rsid w:val="001A29C6"/>
    <w:rsid w:val="001A2D09"/>
    <w:rsid w:val="001A34E8"/>
    <w:rsid w:val="001B2F4E"/>
    <w:rsid w:val="001C09F4"/>
    <w:rsid w:val="001C1002"/>
    <w:rsid w:val="001D1C35"/>
    <w:rsid w:val="001E0DBC"/>
    <w:rsid w:val="001E43EB"/>
    <w:rsid w:val="001F2A5E"/>
    <w:rsid w:val="00211A61"/>
    <w:rsid w:val="00213095"/>
    <w:rsid w:val="00217862"/>
    <w:rsid w:val="002227BC"/>
    <w:rsid w:val="00224590"/>
    <w:rsid w:val="00225DBE"/>
    <w:rsid w:val="002273CE"/>
    <w:rsid w:val="00244028"/>
    <w:rsid w:val="0024527B"/>
    <w:rsid w:val="00291DB7"/>
    <w:rsid w:val="002D6548"/>
    <w:rsid w:val="002D7F37"/>
    <w:rsid w:val="002F5A47"/>
    <w:rsid w:val="003211A0"/>
    <w:rsid w:val="003311B7"/>
    <w:rsid w:val="00341DCE"/>
    <w:rsid w:val="00343971"/>
    <w:rsid w:val="00362E4F"/>
    <w:rsid w:val="003776E9"/>
    <w:rsid w:val="003A18AA"/>
    <w:rsid w:val="003A2337"/>
    <w:rsid w:val="003E1E0D"/>
    <w:rsid w:val="0040306E"/>
    <w:rsid w:val="004266D3"/>
    <w:rsid w:val="004318B1"/>
    <w:rsid w:val="004375D3"/>
    <w:rsid w:val="00442F58"/>
    <w:rsid w:val="00462DBF"/>
    <w:rsid w:val="00476C75"/>
    <w:rsid w:val="00481077"/>
    <w:rsid w:val="00490999"/>
    <w:rsid w:val="00497953"/>
    <w:rsid w:val="004B6685"/>
    <w:rsid w:val="004B7DC4"/>
    <w:rsid w:val="004E19D1"/>
    <w:rsid w:val="004F3301"/>
    <w:rsid w:val="00503AC8"/>
    <w:rsid w:val="00504C73"/>
    <w:rsid w:val="00531C1C"/>
    <w:rsid w:val="00565BFD"/>
    <w:rsid w:val="00583945"/>
    <w:rsid w:val="00584E12"/>
    <w:rsid w:val="00586946"/>
    <w:rsid w:val="00591127"/>
    <w:rsid w:val="005918BA"/>
    <w:rsid w:val="00593212"/>
    <w:rsid w:val="00596FFC"/>
    <w:rsid w:val="005B1D3C"/>
    <w:rsid w:val="005B4D3C"/>
    <w:rsid w:val="005C5251"/>
    <w:rsid w:val="005C56B1"/>
    <w:rsid w:val="005D6178"/>
    <w:rsid w:val="005D6C51"/>
    <w:rsid w:val="005E5DF7"/>
    <w:rsid w:val="005E6EBC"/>
    <w:rsid w:val="005F1F40"/>
    <w:rsid w:val="0061394B"/>
    <w:rsid w:val="00623EAC"/>
    <w:rsid w:val="00627485"/>
    <w:rsid w:val="00637A38"/>
    <w:rsid w:val="00645E01"/>
    <w:rsid w:val="00655D66"/>
    <w:rsid w:val="00655EED"/>
    <w:rsid w:val="006606DF"/>
    <w:rsid w:val="006A5292"/>
    <w:rsid w:val="006B1FB5"/>
    <w:rsid w:val="00706367"/>
    <w:rsid w:val="00723732"/>
    <w:rsid w:val="00755668"/>
    <w:rsid w:val="00755E01"/>
    <w:rsid w:val="00757B57"/>
    <w:rsid w:val="007718A8"/>
    <w:rsid w:val="007A18DF"/>
    <w:rsid w:val="007B6652"/>
    <w:rsid w:val="007C1812"/>
    <w:rsid w:val="007C21C8"/>
    <w:rsid w:val="007D3DDF"/>
    <w:rsid w:val="007D508D"/>
    <w:rsid w:val="007D5E68"/>
    <w:rsid w:val="007E5CAF"/>
    <w:rsid w:val="00801D3E"/>
    <w:rsid w:val="00801EE6"/>
    <w:rsid w:val="00805F3F"/>
    <w:rsid w:val="008068DC"/>
    <w:rsid w:val="00810C83"/>
    <w:rsid w:val="00815A0C"/>
    <w:rsid w:val="008246E8"/>
    <w:rsid w:val="0083306B"/>
    <w:rsid w:val="00842091"/>
    <w:rsid w:val="00842282"/>
    <w:rsid w:val="00846B8F"/>
    <w:rsid w:val="008503B5"/>
    <w:rsid w:val="00851995"/>
    <w:rsid w:val="008520AD"/>
    <w:rsid w:val="00870607"/>
    <w:rsid w:val="0087528F"/>
    <w:rsid w:val="00877ABA"/>
    <w:rsid w:val="008933D3"/>
    <w:rsid w:val="008C165D"/>
    <w:rsid w:val="008D6E39"/>
    <w:rsid w:val="008D75E7"/>
    <w:rsid w:val="008E0D7F"/>
    <w:rsid w:val="008E7DA7"/>
    <w:rsid w:val="008F2D8A"/>
    <w:rsid w:val="00911D9B"/>
    <w:rsid w:val="0093156F"/>
    <w:rsid w:val="00936FB8"/>
    <w:rsid w:val="00937888"/>
    <w:rsid w:val="0094231F"/>
    <w:rsid w:val="00957193"/>
    <w:rsid w:val="00986F8B"/>
    <w:rsid w:val="009A69D7"/>
    <w:rsid w:val="009A7FF1"/>
    <w:rsid w:val="009B55FF"/>
    <w:rsid w:val="009D44D9"/>
    <w:rsid w:val="009E03F8"/>
    <w:rsid w:val="009E146C"/>
    <w:rsid w:val="00A07F2D"/>
    <w:rsid w:val="00A349CB"/>
    <w:rsid w:val="00A36184"/>
    <w:rsid w:val="00A471EA"/>
    <w:rsid w:val="00A51C45"/>
    <w:rsid w:val="00A555F9"/>
    <w:rsid w:val="00A5582E"/>
    <w:rsid w:val="00A634EF"/>
    <w:rsid w:val="00A66B8F"/>
    <w:rsid w:val="00A87B90"/>
    <w:rsid w:val="00A915D4"/>
    <w:rsid w:val="00AA13E0"/>
    <w:rsid w:val="00AC474A"/>
    <w:rsid w:val="00AD1E62"/>
    <w:rsid w:val="00AE29DF"/>
    <w:rsid w:val="00AF763B"/>
    <w:rsid w:val="00B01C67"/>
    <w:rsid w:val="00B02486"/>
    <w:rsid w:val="00B04B78"/>
    <w:rsid w:val="00B16056"/>
    <w:rsid w:val="00B2470A"/>
    <w:rsid w:val="00B3395F"/>
    <w:rsid w:val="00B433D2"/>
    <w:rsid w:val="00B44B26"/>
    <w:rsid w:val="00B46B82"/>
    <w:rsid w:val="00B632ED"/>
    <w:rsid w:val="00B662F1"/>
    <w:rsid w:val="00B70902"/>
    <w:rsid w:val="00B7297E"/>
    <w:rsid w:val="00B77AB6"/>
    <w:rsid w:val="00B92A2B"/>
    <w:rsid w:val="00BB0FFB"/>
    <w:rsid w:val="00BB4E04"/>
    <w:rsid w:val="00BB7D0D"/>
    <w:rsid w:val="00BD1CF3"/>
    <w:rsid w:val="00BD29FB"/>
    <w:rsid w:val="00BD73D6"/>
    <w:rsid w:val="00BE710E"/>
    <w:rsid w:val="00C2225B"/>
    <w:rsid w:val="00C336A8"/>
    <w:rsid w:val="00C43348"/>
    <w:rsid w:val="00C638D7"/>
    <w:rsid w:val="00C75C3A"/>
    <w:rsid w:val="00C821CB"/>
    <w:rsid w:val="00C849F6"/>
    <w:rsid w:val="00C9341D"/>
    <w:rsid w:val="00CA5E14"/>
    <w:rsid w:val="00CB2E57"/>
    <w:rsid w:val="00CB3120"/>
    <w:rsid w:val="00CC03A7"/>
    <w:rsid w:val="00CC1C49"/>
    <w:rsid w:val="00CC221C"/>
    <w:rsid w:val="00CC3886"/>
    <w:rsid w:val="00CD4C23"/>
    <w:rsid w:val="00D050C1"/>
    <w:rsid w:val="00D0788E"/>
    <w:rsid w:val="00D13B22"/>
    <w:rsid w:val="00D17509"/>
    <w:rsid w:val="00D345F0"/>
    <w:rsid w:val="00D34D15"/>
    <w:rsid w:val="00D53FF2"/>
    <w:rsid w:val="00D568A0"/>
    <w:rsid w:val="00D66496"/>
    <w:rsid w:val="00D8001F"/>
    <w:rsid w:val="00D848DE"/>
    <w:rsid w:val="00D9148E"/>
    <w:rsid w:val="00D93342"/>
    <w:rsid w:val="00D9538A"/>
    <w:rsid w:val="00DA03B2"/>
    <w:rsid w:val="00DB03BA"/>
    <w:rsid w:val="00DB4A0C"/>
    <w:rsid w:val="00DC062D"/>
    <w:rsid w:val="00DE0B24"/>
    <w:rsid w:val="00DE5D52"/>
    <w:rsid w:val="00DF1C06"/>
    <w:rsid w:val="00DF457F"/>
    <w:rsid w:val="00E01696"/>
    <w:rsid w:val="00E23737"/>
    <w:rsid w:val="00E238C0"/>
    <w:rsid w:val="00E41B4E"/>
    <w:rsid w:val="00E50387"/>
    <w:rsid w:val="00E60F25"/>
    <w:rsid w:val="00E73783"/>
    <w:rsid w:val="00E9623A"/>
    <w:rsid w:val="00E97368"/>
    <w:rsid w:val="00EE0822"/>
    <w:rsid w:val="00EE2215"/>
    <w:rsid w:val="00EF1166"/>
    <w:rsid w:val="00F110CE"/>
    <w:rsid w:val="00F13A71"/>
    <w:rsid w:val="00F17962"/>
    <w:rsid w:val="00F44DDF"/>
    <w:rsid w:val="00F5124F"/>
    <w:rsid w:val="00F63B65"/>
    <w:rsid w:val="00F73F29"/>
    <w:rsid w:val="00F945B7"/>
    <w:rsid w:val="00FA3BEA"/>
    <w:rsid w:val="00FB084F"/>
    <w:rsid w:val="00FB510D"/>
    <w:rsid w:val="00FB5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8D2E95-FCEC-46B0-8A05-7483E91C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70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51CEA"/>
    <w:pPr>
      <w:keepNext/>
      <w:keepLines/>
      <w:spacing w:line="360" w:lineRule="auto"/>
      <w:outlineLvl w:val="0"/>
    </w:pPr>
    <w:rPr>
      <w:rFonts w:eastAsia="微软雅黑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51CEA"/>
    <w:pPr>
      <w:keepNext/>
      <w:keepLines/>
      <w:spacing w:line="360" w:lineRule="auto"/>
      <w:outlineLvl w:val="1"/>
    </w:pPr>
    <w:rPr>
      <w:rFonts w:asciiTheme="majorHAnsi" w:eastAsia="微软雅黑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B510D"/>
    <w:pPr>
      <w:keepNext/>
      <w:keepLines/>
      <w:spacing w:line="360" w:lineRule="auto"/>
      <w:outlineLvl w:val="2"/>
    </w:pPr>
    <w:rPr>
      <w:rFonts w:eastAsia="华文细黑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8C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A175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A1753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51CEA"/>
    <w:rPr>
      <w:rFonts w:eastAsia="微软雅黑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151CEA"/>
    <w:rPr>
      <w:rFonts w:asciiTheme="majorHAnsi" w:eastAsia="微软雅黑" w:hAnsiTheme="majorHAnsi" w:cstheme="majorBidi"/>
      <w:b/>
      <w:bCs/>
      <w:kern w:val="2"/>
      <w:sz w:val="24"/>
      <w:szCs w:val="32"/>
    </w:rPr>
  </w:style>
  <w:style w:type="paragraph" w:styleId="a5">
    <w:name w:val="caption"/>
    <w:basedOn w:val="a"/>
    <w:next w:val="a"/>
    <w:uiPriority w:val="35"/>
    <w:unhideWhenUsed/>
    <w:qFormat/>
    <w:rsid w:val="00F13A71"/>
    <w:rPr>
      <w:rFonts w:asciiTheme="majorHAnsi" w:eastAsia="黑体" w:hAnsiTheme="majorHAnsi" w:cstheme="majorBidi"/>
      <w:sz w:val="20"/>
      <w:szCs w:val="20"/>
    </w:rPr>
  </w:style>
  <w:style w:type="character" w:customStyle="1" w:styleId="3Char">
    <w:name w:val="标题 3 Char"/>
    <w:basedOn w:val="a0"/>
    <w:link w:val="3"/>
    <w:uiPriority w:val="9"/>
    <w:rsid w:val="00FB510D"/>
    <w:rPr>
      <w:rFonts w:eastAsia="华文细黑"/>
      <w:b/>
      <w:bCs/>
      <w:kern w:val="2"/>
      <w:sz w:val="24"/>
      <w:szCs w:val="32"/>
    </w:rPr>
  </w:style>
  <w:style w:type="paragraph" w:styleId="a6">
    <w:name w:val="header"/>
    <w:basedOn w:val="a"/>
    <w:link w:val="Char0"/>
    <w:uiPriority w:val="99"/>
    <w:unhideWhenUsed/>
    <w:rsid w:val="00A07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07F2D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07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07F2D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075F07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B04B78"/>
    <w:pPr>
      <w:tabs>
        <w:tab w:val="right" w:leader="dot" w:pos="8630"/>
      </w:tabs>
      <w:spacing w:before="120" w:after="120" w:line="348" w:lineRule="auto"/>
      <w:jc w:val="left"/>
    </w:pPr>
    <w:rPr>
      <w:rFonts w:ascii="华文细黑" w:eastAsia="华文细黑" w:hAnsi="华文细黑"/>
      <w:b/>
      <w:bCs/>
      <w:caps/>
      <w:noProof/>
      <w:sz w:val="22"/>
    </w:rPr>
  </w:style>
  <w:style w:type="paragraph" w:styleId="20">
    <w:name w:val="toc 2"/>
    <w:basedOn w:val="a"/>
    <w:next w:val="a"/>
    <w:autoRedefine/>
    <w:uiPriority w:val="39"/>
    <w:unhideWhenUsed/>
    <w:rsid w:val="00075F07"/>
    <w:pPr>
      <w:ind w:left="210"/>
      <w:jc w:val="left"/>
    </w:pPr>
    <w:rPr>
      <w:rFonts w:asciiTheme="minorHAnsi" w:eastAsia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075F07"/>
    <w:pPr>
      <w:ind w:left="420"/>
      <w:jc w:val="left"/>
    </w:pPr>
    <w:rPr>
      <w:rFonts w:asciiTheme="minorHAnsi" w:eastAsiaTheme="minorHAnsi"/>
      <w:i/>
      <w:iCs/>
      <w:sz w:val="20"/>
      <w:szCs w:val="20"/>
    </w:rPr>
  </w:style>
  <w:style w:type="character" w:styleId="a8">
    <w:name w:val="Hyperlink"/>
    <w:basedOn w:val="a0"/>
    <w:uiPriority w:val="99"/>
    <w:unhideWhenUsed/>
    <w:rsid w:val="00075F07"/>
    <w:rPr>
      <w:color w:val="0563C1" w:themeColor="hyperlink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075F07"/>
    <w:pPr>
      <w:ind w:left="630"/>
      <w:jc w:val="left"/>
    </w:pPr>
    <w:rPr>
      <w:rFonts w:asciiTheme="minorHAnsi" w:eastAsia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075F07"/>
    <w:pPr>
      <w:ind w:left="840"/>
      <w:jc w:val="left"/>
    </w:pPr>
    <w:rPr>
      <w:rFonts w:asciiTheme="minorHAnsi" w:eastAsia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075F07"/>
    <w:pPr>
      <w:ind w:left="1050"/>
      <w:jc w:val="left"/>
    </w:pPr>
    <w:rPr>
      <w:rFonts w:asciiTheme="minorHAnsi" w:eastAsia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075F07"/>
    <w:pPr>
      <w:ind w:left="1260"/>
      <w:jc w:val="left"/>
    </w:pPr>
    <w:rPr>
      <w:rFonts w:asciiTheme="minorHAnsi" w:eastAsia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075F07"/>
    <w:pPr>
      <w:ind w:left="1470"/>
      <w:jc w:val="left"/>
    </w:pPr>
    <w:rPr>
      <w:rFonts w:asciiTheme="minorHAnsi" w:eastAsia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075F07"/>
    <w:pPr>
      <w:ind w:left="1680"/>
      <w:jc w:val="left"/>
    </w:pPr>
    <w:rPr>
      <w:rFonts w:asciiTheme="minorHAnsi" w:eastAsia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1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3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0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15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6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08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1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8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8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29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8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1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8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0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15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19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0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2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48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881D3-8ACB-4733-A69E-A0BCD387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1377</Words>
  <Characters>7849</Characters>
  <Application>Microsoft Office Word</Application>
  <DocSecurity>8</DocSecurity>
  <Lines>65</Lines>
  <Paragraphs>18</Paragraphs>
  <ScaleCrop>false</ScaleCrop>
  <Company/>
  <LinksUpToDate>false</LinksUpToDate>
  <CharactersWithSpaces>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liangcheng zhu</dc:creator>
  <cp:keywords/>
  <dc:description/>
  <cp:lastModifiedBy>lenovo</cp:lastModifiedBy>
  <cp:revision>33</cp:revision>
  <cp:lastPrinted>2020-10-23T01:50:00Z</cp:lastPrinted>
  <dcterms:created xsi:type="dcterms:W3CDTF">2020-11-05T02:44:00Z</dcterms:created>
  <dcterms:modified xsi:type="dcterms:W3CDTF">2020-11-09T01:21:00Z</dcterms:modified>
</cp:coreProperties>
</file>