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A933C">
      <w:pPr>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default" w:ascii="黑体" w:hAnsi="黑体" w:eastAsia="黑体" w:cs="黑体"/>
          <w:strike w:val="0"/>
          <w:dstrike w:val="0"/>
          <w:color w:val="auto"/>
          <w:sz w:val="32"/>
          <w:szCs w:val="32"/>
          <w:highlight w:val="none"/>
          <w:u w:val="none"/>
          <w:lang w:val="en-US" w:eastAsia="zh-CN"/>
        </w:rPr>
      </w:pPr>
      <w:r>
        <w:rPr>
          <w:rFonts w:hint="default" w:ascii="黑体" w:hAnsi="黑体" w:eastAsia="黑体" w:cs="黑体"/>
          <w:strike w:val="0"/>
          <w:dstrike w:val="0"/>
          <w:color w:val="auto"/>
          <w:sz w:val="32"/>
          <w:szCs w:val="32"/>
          <w:highlight w:val="none"/>
          <w:u w:val="none"/>
          <w:lang w:val="en-US" w:eastAsia="zh-CN"/>
        </w:rPr>
        <w:t>附件</w:t>
      </w:r>
      <w:r>
        <w:rPr>
          <w:rFonts w:hint="eastAsia" w:ascii="黑体" w:hAnsi="黑体" w:eastAsia="黑体" w:cs="黑体"/>
          <w:strike w:val="0"/>
          <w:dstrike w:val="0"/>
          <w:color w:val="auto"/>
          <w:sz w:val="32"/>
          <w:szCs w:val="32"/>
          <w:highlight w:val="none"/>
          <w:u w:val="none"/>
          <w:lang w:val="en-US" w:eastAsia="zh-CN"/>
        </w:rPr>
        <w:t>6</w:t>
      </w:r>
    </w:p>
    <w:p w14:paraId="13099BEC">
      <w:pPr>
        <w:keepNext w:val="0"/>
        <w:keepLines w:val="0"/>
        <w:pageBreakBefore w:val="0"/>
        <w:kinsoku/>
        <w:wordWrap/>
        <w:overflowPunct/>
        <w:topLinePunct w:val="0"/>
        <w:autoSpaceDE/>
        <w:autoSpaceDN/>
        <w:bidi w:val="0"/>
        <w:adjustRightInd/>
        <w:snapToGrid/>
        <w:spacing w:line="600" w:lineRule="exact"/>
        <w:ind w:left="420" w:hanging="420"/>
        <w:jc w:val="center"/>
        <w:textAlignment w:val="auto"/>
        <w:rPr>
          <w:rFonts w:hint="default" w:ascii="Times New Roman" w:hAnsi="Times New Roman" w:eastAsia="方正小标宋简体" w:cs="Times New Roman"/>
          <w:b w:val="0"/>
          <w:bCs w:val="0"/>
          <w:sz w:val="36"/>
          <w:szCs w:val="36"/>
          <w:highlight w:val="none"/>
          <w:u w:val="none"/>
        </w:rPr>
      </w:pPr>
    </w:p>
    <w:p w14:paraId="7AEDB68F">
      <w:pPr>
        <w:keepNext w:val="0"/>
        <w:keepLines w:val="0"/>
        <w:pageBreakBefore w:val="0"/>
        <w:kinsoku/>
        <w:wordWrap/>
        <w:overflowPunct/>
        <w:topLinePunct w:val="0"/>
        <w:autoSpaceDE/>
        <w:autoSpaceDN/>
        <w:bidi w:val="0"/>
        <w:spacing w:after="0" w:line="600" w:lineRule="exact"/>
        <w:ind w:left="0" w:leftChars="0" w:firstLine="0" w:firstLineChars="0"/>
        <w:jc w:val="center"/>
        <w:textAlignment w:val="auto"/>
        <w:rPr>
          <w:rFonts w:hint="default" w:ascii="方正小标宋_GBK" w:hAnsi="方正小标宋_GBK" w:eastAsia="方正小标宋_GBK" w:cs="方正小标宋_GBK"/>
          <w:strike w:val="0"/>
          <w:dstrike w:val="0"/>
          <w:color w:val="auto"/>
          <w:sz w:val="44"/>
          <w:szCs w:val="44"/>
          <w:highlight w:val="none"/>
          <w:u w:val="none"/>
          <w:lang w:val="en-US" w:eastAsia="zh-CN"/>
        </w:rPr>
      </w:pPr>
      <w:bookmarkStart w:id="0" w:name="OLE_LINK1"/>
      <w:r>
        <w:rPr>
          <w:rFonts w:hint="default" w:ascii="方正小标宋_GBK" w:hAnsi="方正小标宋_GBK" w:eastAsia="方正小标宋_GBK" w:cs="方正小标宋_GBK"/>
          <w:strike w:val="0"/>
          <w:dstrike w:val="0"/>
          <w:color w:val="auto"/>
          <w:sz w:val="44"/>
          <w:szCs w:val="44"/>
          <w:highlight w:val="none"/>
          <w:u w:val="none"/>
          <w:lang w:val="en-US" w:eastAsia="zh-CN"/>
        </w:rPr>
        <w:t>上海自贸试验区闵行联动创新区建设方案</w:t>
      </w:r>
      <w:bookmarkEnd w:id="0"/>
    </w:p>
    <w:p w14:paraId="06EBD4E7">
      <w:pPr>
        <w:keepNext w:val="0"/>
        <w:keepLines w:val="0"/>
        <w:pageBreakBefore w:val="0"/>
        <w:widowControl w:val="0"/>
        <w:kinsoku/>
        <w:wordWrap/>
        <w:overflowPunct/>
        <w:topLinePunct w:val="0"/>
        <w:autoSpaceDE/>
        <w:autoSpaceDN/>
        <w:bidi w:val="0"/>
        <w:spacing w:before="0" w:after="0" w:line="600" w:lineRule="exact"/>
        <w:jc w:val="center"/>
        <w:textAlignment w:val="auto"/>
        <w:rPr>
          <w:rFonts w:hint="default" w:ascii="Times New Roman" w:hAnsi="Times New Roman" w:eastAsia="楷体_GB2312" w:cs="Times New Roman"/>
          <w:sz w:val="32"/>
          <w:szCs w:val="32"/>
          <w:highlight w:val="none"/>
          <w:u w:val="none"/>
          <w:lang w:val="en-US" w:eastAsia="zh-CN"/>
        </w:rPr>
      </w:pPr>
    </w:p>
    <w:p w14:paraId="4D19EC18">
      <w:pPr>
        <w:keepNext w:val="0"/>
        <w:keepLines w:val="0"/>
        <w:pageBreakBefore w:val="0"/>
        <w:kinsoku/>
        <w:wordWrap/>
        <w:overflowPunct/>
        <w:topLinePunct w:val="0"/>
        <w:autoSpaceDE/>
        <w:autoSpaceDN/>
        <w:bidi w:val="0"/>
        <w:adjustRightInd/>
        <w:snapToGrid/>
        <w:spacing w:line="600" w:lineRule="exact"/>
        <w:ind w:left="420" w:hanging="420"/>
        <w:jc w:val="center"/>
        <w:textAlignment w:val="auto"/>
        <w:rPr>
          <w:rFonts w:hint="default" w:ascii="Times New Roman" w:hAnsi="Times New Roman" w:eastAsia="黑体" w:cs="Times New Roman"/>
          <w:sz w:val="32"/>
          <w:szCs w:val="32"/>
          <w:highlight w:val="none"/>
          <w:u w:val="none"/>
        </w:rPr>
      </w:pPr>
    </w:p>
    <w:p w14:paraId="658199A1">
      <w:pPr>
        <w:pStyle w:val="13"/>
        <w:keepNext w:val="0"/>
        <w:keepLines w:val="0"/>
        <w:pageBreakBefore w:val="0"/>
        <w:kinsoku/>
        <w:wordWrap/>
        <w:overflowPunct/>
        <w:topLinePunct w:val="0"/>
        <w:autoSpaceDE/>
        <w:autoSpaceDN/>
        <w:bidi w:val="0"/>
        <w:adjustRightInd/>
        <w:snapToGrid/>
        <w:spacing w:line="600" w:lineRule="exact"/>
        <w:ind w:firstLine="640"/>
        <w:contextualSpacing/>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一、功能定位</w:t>
      </w:r>
    </w:p>
    <w:p w14:paraId="4EAA5F24">
      <w:pPr>
        <w:pStyle w:val="13"/>
        <w:keepNext w:val="0"/>
        <w:keepLines w:val="0"/>
        <w:pageBreakBefore w:val="0"/>
        <w:kinsoku/>
        <w:wordWrap/>
        <w:overflowPunct/>
        <w:topLinePunct w:val="0"/>
        <w:autoSpaceDE/>
        <w:autoSpaceDN/>
        <w:bidi w:val="0"/>
        <w:adjustRightInd/>
        <w:snapToGrid/>
        <w:spacing w:line="600" w:lineRule="exact"/>
        <w:ind w:firstLine="640"/>
        <w:contextualSpacing/>
        <w:jc w:val="both"/>
        <w:textAlignment w:val="auto"/>
        <w:rPr>
          <w:rFonts w:hint="default" w:ascii="Times New Roman" w:hAnsi="Times New Roman" w:eastAsia="仿宋_GB2312" w:cs="Times New Roman"/>
          <w:b w:val="0"/>
          <w:bCs w:val="0"/>
          <w:strike w:val="0"/>
          <w:dstrike w:val="0"/>
          <w:color w:val="auto"/>
          <w:sz w:val="32"/>
          <w:szCs w:val="32"/>
          <w:highlight w:val="none"/>
          <w:u w:val="none"/>
        </w:rPr>
      </w:pPr>
      <w:r>
        <w:rPr>
          <w:rFonts w:hint="default" w:ascii="Times New Roman" w:hAnsi="Times New Roman" w:eastAsia="仿宋_GB2312" w:cs="Times New Roman"/>
          <w:b w:val="0"/>
          <w:bCs w:val="0"/>
          <w:strike w:val="0"/>
          <w:dstrike w:val="0"/>
          <w:color w:val="auto"/>
          <w:sz w:val="32"/>
          <w:szCs w:val="32"/>
          <w:highlight w:val="none"/>
          <w:u w:val="none"/>
          <w:lang w:eastAsia="zh-CN"/>
        </w:rPr>
        <w:t>以</w:t>
      </w:r>
      <w:r>
        <w:rPr>
          <w:rFonts w:hint="default" w:ascii="Times New Roman" w:hAnsi="Times New Roman" w:eastAsia="仿宋_GB2312" w:cs="Times New Roman"/>
          <w:b w:val="0"/>
          <w:bCs w:val="0"/>
          <w:strike w:val="0"/>
          <w:dstrike w:val="0"/>
          <w:color w:val="auto"/>
          <w:sz w:val="32"/>
          <w:szCs w:val="32"/>
          <w:highlight w:val="none"/>
          <w:u w:val="none"/>
        </w:rPr>
        <w:t>发展新型国际贸易</w:t>
      </w:r>
      <w:r>
        <w:rPr>
          <w:rFonts w:hint="default" w:ascii="Times New Roman" w:hAnsi="Times New Roman" w:eastAsia="仿宋_GB2312" w:cs="Times New Roman"/>
          <w:b w:val="0"/>
          <w:bCs w:val="0"/>
          <w:strike w:val="0"/>
          <w:dstrike w:val="0"/>
          <w:color w:val="auto"/>
          <w:sz w:val="32"/>
          <w:szCs w:val="32"/>
          <w:highlight w:val="none"/>
          <w:u w:val="none"/>
          <w:lang w:eastAsia="zh-CN"/>
        </w:rPr>
        <w:t>和</w:t>
      </w:r>
      <w:r>
        <w:rPr>
          <w:rFonts w:hint="default" w:ascii="Times New Roman" w:hAnsi="Times New Roman" w:eastAsia="仿宋_GB2312" w:cs="Times New Roman"/>
          <w:b w:val="0"/>
          <w:bCs w:val="0"/>
          <w:strike w:val="0"/>
          <w:dstrike w:val="0"/>
          <w:color w:val="auto"/>
          <w:sz w:val="32"/>
          <w:szCs w:val="32"/>
          <w:highlight w:val="none"/>
          <w:u w:val="none"/>
        </w:rPr>
        <w:t>高端智能制造为主线</w:t>
      </w:r>
      <w:r>
        <w:rPr>
          <w:rFonts w:hint="default" w:ascii="Times New Roman" w:hAnsi="Times New Roman" w:eastAsia="仿宋_GB2312" w:cs="Times New Roman"/>
          <w:b w:val="0"/>
          <w:bCs w:val="0"/>
          <w:strike w:val="0"/>
          <w:dstrike w:val="0"/>
          <w:color w:val="auto"/>
          <w:sz w:val="32"/>
          <w:szCs w:val="32"/>
          <w:highlight w:val="none"/>
          <w:u w:val="none"/>
          <w:lang w:eastAsia="zh-CN"/>
        </w:rPr>
        <w:t>，围绕</w:t>
      </w:r>
      <w:r>
        <w:rPr>
          <w:rFonts w:hint="default" w:ascii="Times New Roman" w:hAnsi="Times New Roman" w:eastAsia="仿宋_GB2312" w:cs="Times New Roman"/>
          <w:b w:val="0"/>
          <w:bCs w:val="0"/>
          <w:strike w:val="0"/>
          <w:dstrike w:val="0"/>
          <w:color w:val="auto"/>
          <w:sz w:val="32"/>
          <w:szCs w:val="32"/>
          <w:highlight w:val="none"/>
          <w:u w:val="none"/>
        </w:rPr>
        <w:t>打造</w:t>
      </w:r>
      <w:r>
        <w:rPr>
          <w:rFonts w:hint="default" w:ascii="Times New Roman" w:hAnsi="Times New Roman" w:eastAsia="仿宋_GB2312" w:cs="Times New Roman"/>
          <w:b w:val="0"/>
          <w:bCs w:val="0"/>
          <w:strike w:val="0"/>
          <w:dstrike w:val="0"/>
          <w:color w:val="auto"/>
          <w:sz w:val="32"/>
          <w:szCs w:val="32"/>
          <w:highlight w:val="none"/>
          <w:u w:val="none"/>
          <w:lang w:eastAsia="zh-CN"/>
        </w:rPr>
        <w:t>促进内外贸融合发展</w:t>
      </w:r>
      <w:r>
        <w:rPr>
          <w:rFonts w:hint="default" w:ascii="Times New Roman" w:hAnsi="Times New Roman" w:eastAsia="仿宋_GB2312" w:cs="Times New Roman"/>
          <w:b w:val="0"/>
          <w:bCs w:val="0"/>
          <w:strike w:val="0"/>
          <w:dstrike w:val="0"/>
          <w:color w:val="auto"/>
          <w:sz w:val="32"/>
          <w:szCs w:val="32"/>
          <w:highlight w:val="none"/>
          <w:u w:val="none"/>
        </w:rPr>
        <w:t>的新型国际贸易</w:t>
      </w:r>
      <w:r>
        <w:rPr>
          <w:rFonts w:hint="default" w:ascii="Times New Roman" w:hAnsi="Times New Roman" w:eastAsia="仿宋_GB2312" w:cs="Times New Roman"/>
          <w:b w:val="0"/>
          <w:bCs w:val="0"/>
          <w:strike w:val="0"/>
          <w:dstrike w:val="0"/>
          <w:color w:val="auto"/>
          <w:sz w:val="32"/>
          <w:szCs w:val="32"/>
          <w:highlight w:val="none"/>
          <w:u w:val="none"/>
          <w:lang w:eastAsia="zh-CN"/>
        </w:rPr>
        <w:t>新</w:t>
      </w:r>
      <w:r>
        <w:rPr>
          <w:rFonts w:hint="default" w:ascii="Times New Roman" w:hAnsi="Times New Roman" w:eastAsia="仿宋_GB2312" w:cs="Times New Roman"/>
          <w:b w:val="0"/>
          <w:bCs w:val="0"/>
          <w:strike w:val="0"/>
          <w:dstrike w:val="0"/>
          <w:color w:val="auto"/>
          <w:sz w:val="32"/>
          <w:szCs w:val="32"/>
          <w:highlight w:val="none"/>
          <w:u w:val="none"/>
        </w:rPr>
        <w:t>平台</w:t>
      </w:r>
      <w:bookmarkStart w:id="1" w:name="_GoBack"/>
      <w:bookmarkEnd w:id="1"/>
      <w:r>
        <w:rPr>
          <w:rFonts w:hint="default" w:ascii="Times New Roman" w:hAnsi="Times New Roman" w:eastAsia="仿宋_GB2312" w:cs="Times New Roman"/>
          <w:b w:val="0"/>
          <w:bCs w:val="0"/>
          <w:strike w:val="0"/>
          <w:dstrike w:val="0"/>
          <w:color w:val="auto"/>
          <w:sz w:val="32"/>
          <w:szCs w:val="32"/>
          <w:highlight w:val="none"/>
          <w:u w:val="none"/>
          <w:lang w:eastAsia="zh-CN"/>
        </w:rPr>
        <w:t>和</w:t>
      </w:r>
      <w:r>
        <w:rPr>
          <w:rFonts w:hint="default" w:ascii="Times New Roman" w:hAnsi="Times New Roman" w:eastAsia="仿宋_GB2312" w:cs="Times New Roman"/>
          <w:b w:val="0"/>
          <w:bCs w:val="0"/>
          <w:strike w:val="0"/>
          <w:dstrike w:val="0"/>
          <w:color w:val="auto"/>
          <w:sz w:val="32"/>
          <w:szCs w:val="32"/>
          <w:highlight w:val="none"/>
          <w:u w:val="none"/>
        </w:rPr>
        <w:t>“科创+产业”深度融合的高端智能制造新引擎，</w:t>
      </w:r>
      <w:r>
        <w:rPr>
          <w:rFonts w:hint="default" w:ascii="Times New Roman" w:hAnsi="Times New Roman" w:eastAsia="仿宋_GB2312" w:cs="Times New Roman"/>
          <w:b w:val="0"/>
          <w:bCs w:val="0"/>
          <w:strike w:val="0"/>
          <w:dstrike w:val="0"/>
          <w:color w:val="auto"/>
          <w:sz w:val="32"/>
          <w:szCs w:val="32"/>
          <w:highlight w:val="none"/>
          <w:u w:val="none"/>
          <w:lang w:eastAsia="zh-CN"/>
        </w:rPr>
        <w:t>培育一批高能级贸易主体，</w:t>
      </w:r>
      <w:r>
        <w:rPr>
          <w:rFonts w:hint="default" w:ascii="Times New Roman" w:hAnsi="Times New Roman" w:eastAsia="仿宋_GB2312" w:cs="Times New Roman"/>
          <w:b w:val="0"/>
          <w:bCs w:val="0"/>
          <w:strike w:val="0"/>
          <w:dstrike w:val="0"/>
          <w:color w:val="auto"/>
          <w:sz w:val="32"/>
          <w:szCs w:val="32"/>
          <w:highlight w:val="none"/>
          <w:u w:val="none"/>
        </w:rPr>
        <w:t>集聚一批高科技、高效能、高质量的未来产业项目，建成一批国家级科技和产业创新平台。</w:t>
      </w:r>
    </w:p>
    <w:p w14:paraId="60818F42">
      <w:pPr>
        <w:pStyle w:val="13"/>
        <w:keepNext w:val="0"/>
        <w:keepLines w:val="0"/>
        <w:pageBreakBefore w:val="0"/>
        <w:numPr>
          <w:ilvl w:val="0"/>
          <w:numId w:val="1"/>
        </w:numPr>
        <w:kinsoku/>
        <w:wordWrap/>
        <w:overflowPunct/>
        <w:topLinePunct w:val="0"/>
        <w:autoSpaceDE/>
        <w:autoSpaceDN/>
        <w:bidi w:val="0"/>
        <w:adjustRightInd/>
        <w:snapToGrid/>
        <w:spacing w:line="600" w:lineRule="exact"/>
        <w:ind w:firstLine="640"/>
        <w:contextualSpacing/>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实施范围</w:t>
      </w:r>
    </w:p>
    <w:p w14:paraId="3FAC503A">
      <w:pPr>
        <w:pStyle w:val="13"/>
        <w:keepNext w:val="0"/>
        <w:keepLines w:val="0"/>
        <w:pageBreakBefore w:val="0"/>
        <w:numPr>
          <w:ilvl w:val="0"/>
          <w:numId w:val="0"/>
        </w:numPr>
        <w:kinsoku/>
        <w:wordWrap/>
        <w:overflowPunct/>
        <w:topLinePunct w:val="0"/>
        <w:autoSpaceDE/>
        <w:autoSpaceDN/>
        <w:bidi w:val="0"/>
        <w:adjustRightInd/>
        <w:snapToGrid/>
        <w:spacing w:line="600" w:lineRule="exact"/>
        <w:ind w:firstLine="643"/>
        <w:contextualSpacing/>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lang w:eastAsia="zh-CN" w:bidi="ar"/>
        </w:rPr>
        <w:t>闵行</w:t>
      </w:r>
      <w:r>
        <w:rPr>
          <w:rFonts w:hint="default" w:ascii="Times New Roman" w:hAnsi="Times New Roman" w:eastAsia="仿宋_GB2312" w:cs="Times New Roman"/>
          <w:strike w:val="0"/>
          <w:dstrike w:val="0"/>
          <w:color w:val="auto"/>
          <w:sz w:val="32"/>
          <w:szCs w:val="32"/>
          <w:highlight w:val="none"/>
          <w:u w:val="none"/>
          <w:lang w:bidi="ar"/>
        </w:rPr>
        <w:t>联动创新区</w:t>
      </w:r>
      <w:r>
        <w:rPr>
          <w:rFonts w:hint="default" w:ascii="Times New Roman" w:hAnsi="Times New Roman" w:eastAsia="仿宋_GB2312" w:cs="Times New Roman"/>
          <w:strike w:val="0"/>
          <w:dstrike w:val="0"/>
          <w:color w:val="auto"/>
          <w:sz w:val="32"/>
          <w:szCs w:val="32"/>
          <w:highlight w:val="none"/>
          <w:u w:val="none"/>
          <w:lang w:eastAsia="zh-CN" w:bidi="ar"/>
        </w:rPr>
        <w:t>包括</w:t>
      </w:r>
      <w:r>
        <w:rPr>
          <w:rFonts w:hint="default" w:ascii="Times New Roman" w:hAnsi="Times New Roman" w:eastAsia="仿宋_GB2312" w:cs="Times New Roman"/>
          <w:color w:val="auto"/>
          <w:sz w:val="32"/>
          <w:szCs w:val="32"/>
          <w:highlight w:val="none"/>
          <w:u w:val="none"/>
        </w:rPr>
        <w:t>虹桥国际中央商务区（闵行部分）及“大零号湾”科技创新策源功能区</w:t>
      </w:r>
      <w:r>
        <w:rPr>
          <w:rFonts w:hint="default" w:ascii="Times New Roman" w:hAnsi="Times New Roman" w:eastAsia="仿宋_GB2312" w:cs="Times New Roman"/>
          <w:color w:val="auto"/>
          <w:sz w:val="32"/>
          <w:szCs w:val="32"/>
          <w:highlight w:val="none"/>
          <w:u w:val="none"/>
          <w:lang w:eastAsia="zh-CN"/>
        </w:rPr>
        <w:t>两大区域中的产业板块，</w:t>
      </w:r>
      <w:r>
        <w:rPr>
          <w:rFonts w:hint="default" w:ascii="Times New Roman" w:hAnsi="Times New Roman" w:eastAsia="仿宋_GB2312" w:cs="Times New Roman"/>
          <w:color w:val="auto"/>
          <w:sz w:val="32"/>
          <w:szCs w:val="32"/>
          <w:highlight w:val="none"/>
          <w:u w:val="none"/>
          <w:lang w:val="en-US" w:eastAsia="zh-CN"/>
        </w:rPr>
        <w:t>总面积约</w:t>
      </w:r>
      <w:r>
        <w:rPr>
          <w:rFonts w:hint="default" w:ascii="Times New Roman" w:hAnsi="Times New Roman" w:eastAsia="仿宋_GB2312" w:cs="Times New Roman"/>
          <w:color w:val="auto"/>
          <w:sz w:val="32"/>
          <w:szCs w:val="32"/>
          <w:highlight w:val="none"/>
          <w:u w:val="none"/>
        </w:rPr>
        <w:t>46平方公里</w:t>
      </w:r>
      <w:r>
        <w:rPr>
          <w:rFonts w:hint="default" w:ascii="Times New Roman" w:hAnsi="Times New Roman" w:eastAsia="仿宋_GB2312" w:cs="Times New Roman"/>
          <w:color w:val="auto"/>
          <w:sz w:val="32"/>
          <w:szCs w:val="32"/>
          <w:highlight w:val="none"/>
          <w:u w:val="none"/>
          <w:lang w:eastAsia="zh-CN"/>
        </w:rPr>
        <w:t>。</w:t>
      </w:r>
    </w:p>
    <w:p w14:paraId="3F9DE2AF">
      <w:pPr>
        <w:pStyle w:val="13"/>
        <w:keepNext w:val="0"/>
        <w:keepLines w:val="0"/>
        <w:pageBreakBefore w:val="0"/>
        <w:kinsoku/>
        <w:wordWrap/>
        <w:overflowPunct/>
        <w:topLinePunct w:val="0"/>
        <w:autoSpaceDE/>
        <w:autoSpaceDN/>
        <w:bidi w:val="0"/>
        <w:adjustRightInd/>
        <w:snapToGrid/>
        <w:spacing w:line="600" w:lineRule="exact"/>
        <w:ind w:firstLine="640"/>
        <w:contextualSpacing/>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、重点任务</w:t>
      </w:r>
    </w:p>
    <w:p w14:paraId="6BAAB129">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方正楷体_GB18030"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rPr>
        <w:t>1.提升虹桥</w:t>
      </w:r>
      <w:r>
        <w:rPr>
          <w:rFonts w:hint="default" w:ascii="Times New Roman" w:hAnsi="Times New Roman" w:eastAsia="仿宋_GB2312" w:cs="Times New Roman"/>
          <w:b/>
          <w:bCs/>
          <w:color w:val="auto"/>
          <w:sz w:val="32"/>
          <w:szCs w:val="32"/>
          <w:highlight w:val="none"/>
          <w:u w:val="none"/>
          <w:lang w:eastAsia="zh-CN"/>
        </w:rPr>
        <w:t>商务区保税物流中心（</w:t>
      </w:r>
      <w:r>
        <w:rPr>
          <w:rFonts w:hint="default" w:ascii="Times New Roman" w:hAnsi="Times New Roman" w:eastAsia="仿宋_GB2312" w:cs="Times New Roman"/>
          <w:b/>
          <w:bCs/>
          <w:color w:val="auto"/>
          <w:sz w:val="32"/>
          <w:szCs w:val="32"/>
          <w:highlight w:val="none"/>
          <w:u w:val="none"/>
          <w:lang w:val="en-US" w:eastAsia="zh-CN"/>
        </w:rPr>
        <w:t>B型</w:t>
      </w:r>
      <w:r>
        <w:rPr>
          <w:rFonts w:hint="default" w:ascii="Times New Roman" w:hAnsi="Times New Roman" w:eastAsia="仿宋_GB2312" w:cs="Times New Roman"/>
          <w:b/>
          <w:bCs/>
          <w:color w:val="auto"/>
          <w:sz w:val="32"/>
          <w:szCs w:val="32"/>
          <w:highlight w:val="none"/>
          <w:u w:val="none"/>
          <w:lang w:eastAsia="zh-CN"/>
        </w:rPr>
        <w:t>）能级。</w:t>
      </w:r>
      <w:r>
        <w:rPr>
          <w:rFonts w:hint="default" w:ascii="Times New Roman" w:hAnsi="Times New Roman" w:eastAsia="仿宋_GB2312" w:cs="Times New Roman"/>
          <w:color w:val="auto"/>
          <w:sz w:val="32"/>
          <w:szCs w:val="32"/>
          <w:highlight w:val="none"/>
          <w:u w:val="none"/>
        </w:rPr>
        <w:t>推进落地保税展示交易货物分线监管、跨关区保税展示交易</w:t>
      </w:r>
      <w:r>
        <w:rPr>
          <w:rFonts w:hint="default" w:ascii="Times New Roman" w:hAnsi="Times New Roman" w:eastAsia="仿宋_GB2312" w:cs="Times New Roman"/>
          <w:color w:val="auto"/>
          <w:sz w:val="32"/>
          <w:szCs w:val="32"/>
          <w:highlight w:val="none"/>
          <w:u w:val="none"/>
          <w:lang w:eastAsia="zh-CN"/>
        </w:rPr>
        <w:t>等创新业务</w:t>
      </w:r>
      <w:r>
        <w:rPr>
          <w:rFonts w:hint="default" w:ascii="Times New Roman" w:hAnsi="Times New Roman" w:eastAsia="仿宋_GB2312" w:cs="Times New Roman"/>
          <w:color w:val="auto"/>
          <w:kern w:val="0"/>
          <w:sz w:val="32"/>
          <w:szCs w:val="32"/>
          <w:highlight w:val="none"/>
          <w:u w:val="none"/>
          <w:lang w:bidi="ar"/>
        </w:rPr>
        <w:t>。支持虹桥商务区保税物流中心（B型）与综合保税区联动发展</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方正楷体_GB18030" w:cs="Times New Roman"/>
          <w:color w:val="auto"/>
          <w:kern w:val="0"/>
          <w:sz w:val="32"/>
          <w:szCs w:val="32"/>
          <w:highlight w:val="none"/>
          <w:u w:val="none"/>
          <w:lang w:eastAsia="zh-CN" w:bidi="ar"/>
        </w:rPr>
        <w:t>（</w:t>
      </w:r>
      <w:r>
        <w:rPr>
          <w:rFonts w:hint="default" w:ascii="Times New Roman" w:hAnsi="Times New Roman" w:eastAsia="方正楷体_GB18030" w:cs="Times New Roman"/>
          <w:color w:val="auto"/>
          <w:kern w:val="0"/>
          <w:sz w:val="32"/>
          <w:szCs w:val="32"/>
          <w:highlight w:val="none"/>
          <w:u w:val="none"/>
          <w:lang w:val="en-US" w:eastAsia="zh-CN" w:bidi="ar"/>
        </w:rPr>
        <w:t>责任单位：上海海关、市商务委）</w:t>
      </w:r>
    </w:p>
    <w:p w14:paraId="02C5DF3A">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b/>
          <w:bCs/>
          <w:color w:val="auto"/>
          <w:sz w:val="32"/>
          <w:szCs w:val="32"/>
          <w:highlight w:val="none"/>
          <w:u w:val="none"/>
          <w:lang w:eastAsia="zh-CN"/>
        </w:rPr>
        <w:t>拓展</w:t>
      </w:r>
      <w:r>
        <w:rPr>
          <w:rFonts w:hint="default" w:ascii="Times New Roman" w:hAnsi="Times New Roman" w:eastAsia="仿宋_GB2312" w:cs="Times New Roman"/>
          <w:b/>
          <w:bCs/>
          <w:color w:val="auto"/>
          <w:sz w:val="32"/>
          <w:szCs w:val="32"/>
          <w:highlight w:val="none"/>
          <w:u w:val="none"/>
        </w:rPr>
        <w:t>公用型保税仓库</w:t>
      </w:r>
      <w:r>
        <w:rPr>
          <w:rFonts w:hint="default" w:ascii="Times New Roman" w:hAnsi="Times New Roman" w:eastAsia="仿宋_GB2312" w:cs="Times New Roman"/>
          <w:b/>
          <w:bCs/>
          <w:color w:val="auto"/>
          <w:sz w:val="32"/>
          <w:szCs w:val="32"/>
          <w:highlight w:val="none"/>
          <w:u w:val="none"/>
          <w:lang w:val="en-US" w:eastAsia="zh-CN"/>
        </w:rPr>
        <w:t>功能。</w:t>
      </w:r>
      <w:r>
        <w:rPr>
          <w:rFonts w:hint="default" w:ascii="Times New Roman" w:hAnsi="Times New Roman" w:eastAsia="仿宋_GB2312" w:cs="Times New Roman"/>
          <w:b w:val="0"/>
          <w:bCs w:val="0"/>
          <w:color w:val="auto"/>
          <w:sz w:val="32"/>
          <w:szCs w:val="32"/>
          <w:highlight w:val="none"/>
          <w:u w:val="none"/>
          <w:lang w:val="en-US" w:eastAsia="zh-CN"/>
        </w:rPr>
        <w:t>支持</w:t>
      </w:r>
      <w:r>
        <w:rPr>
          <w:rFonts w:hint="default" w:ascii="Times New Roman" w:hAnsi="Times New Roman" w:eastAsia="仿宋_GB2312" w:cs="Times New Roman"/>
          <w:color w:val="auto"/>
          <w:sz w:val="32"/>
          <w:szCs w:val="32"/>
          <w:highlight w:val="none"/>
          <w:u w:val="none"/>
          <w:lang w:val="en-US" w:eastAsia="zh-CN"/>
        </w:rPr>
        <w:t>依托海关特殊监管区域或保税物流中心（B型），</w:t>
      </w:r>
      <w:r>
        <w:rPr>
          <w:rFonts w:hint="eastAsia" w:ascii="Times New Roman" w:hAnsi="Times New Roman" w:eastAsia="仿宋_GB2312" w:cs="Times New Roman"/>
          <w:color w:val="auto"/>
          <w:sz w:val="32"/>
          <w:szCs w:val="32"/>
          <w:highlight w:val="none"/>
          <w:u w:val="none"/>
          <w:lang w:val="en-US" w:eastAsia="zh-CN"/>
        </w:rPr>
        <w:t>实现</w:t>
      </w:r>
      <w:r>
        <w:rPr>
          <w:rFonts w:hint="default" w:ascii="Times New Roman" w:hAnsi="Times New Roman" w:eastAsia="仿宋_GB2312" w:cs="Times New Roman"/>
          <w:color w:val="auto"/>
          <w:sz w:val="32"/>
          <w:szCs w:val="32"/>
          <w:highlight w:val="none"/>
          <w:u w:val="none"/>
          <w:lang w:val="en-US" w:eastAsia="zh-CN"/>
        </w:rPr>
        <w:t>网购保税进口商品可以在同一区域（中心）内的企业间进行流转，网购保税进口商品和进境保税货物在满足监管条件下可以进行互转。支持特定商品延长保税仓库存储期限。</w:t>
      </w:r>
      <w:r>
        <w:rPr>
          <w:rFonts w:hint="default" w:ascii="Times New Roman" w:hAnsi="Times New Roman" w:eastAsia="方正楷体_GB18030" w:cs="Times New Roman"/>
          <w:color w:val="auto"/>
          <w:kern w:val="0"/>
          <w:sz w:val="32"/>
          <w:szCs w:val="32"/>
          <w:highlight w:val="none"/>
          <w:u w:val="none"/>
          <w:lang w:val="en-US" w:eastAsia="zh-CN" w:bidi="ar"/>
        </w:rPr>
        <w:t>（责任单位：上海海关、市商务委）</w:t>
      </w:r>
    </w:p>
    <w:p w14:paraId="295C3A63">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楷体"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3.支持企业申请AEO认证。</w:t>
      </w:r>
      <w:r>
        <w:rPr>
          <w:rFonts w:hint="default" w:ascii="Times New Roman" w:hAnsi="Times New Roman" w:eastAsia="仿宋_GB2312" w:cs="Times New Roman"/>
          <w:color w:val="auto"/>
          <w:sz w:val="32"/>
          <w:szCs w:val="32"/>
          <w:highlight w:val="none"/>
          <w:u w:val="none"/>
          <w:lang w:val="en-US" w:eastAsia="zh-CN"/>
        </w:rPr>
        <w:t>依托闵行区AEO认证指导中心，支持更多符合条件的区域内企业申请成为海关高级认证企业。</w:t>
      </w:r>
      <w:r>
        <w:rPr>
          <w:rFonts w:hint="default" w:ascii="Times New Roman" w:hAnsi="Times New Roman" w:eastAsia="方正楷体_GB18030" w:cs="Times New Roman"/>
          <w:color w:val="auto"/>
          <w:kern w:val="0"/>
          <w:sz w:val="32"/>
          <w:szCs w:val="32"/>
          <w:highlight w:val="none"/>
          <w:u w:val="none"/>
          <w:lang w:val="en-US" w:eastAsia="zh-CN" w:bidi="ar"/>
        </w:rPr>
        <w:t>（责任单位：上海海关、市商务委）</w:t>
      </w:r>
    </w:p>
    <w:p w14:paraId="7576508A">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方正楷体_GB18030"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lang w:val="en-US" w:eastAsia="zh-CN"/>
        </w:rPr>
        <w:t>4</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b/>
          <w:bCs/>
          <w:color w:val="auto"/>
          <w:sz w:val="32"/>
          <w:szCs w:val="32"/>
          <w:highlight w:val="none"/>
          <w:u w:val="none"/>
          <w:lang w:val="en-US" w:eastAsia="zh-CN"/>
        </w:rPr>
        <w:t>开展离岸经贸业务。</w:t>
      </w:r>
      <w:r>
        <w:rPr>
          <w:rFonts w:hint="default" w:ascii="Times New Roman" w:hAnsi="Times New Roman" w:eastAsia="仿宋_GB2312" w:cs="Times New Roman"/>
          <w:color w:val="auto"/>
          <w:sz w:val="32"/>
          <w:szCs w:val="32"/>
          <w:highlight w:val="none"/>
          <w:u w:val="none"/>
        </w:rPr>
        <w:t>支持</w:t>
      </w:r>
      <w:r>
        <w:rPr>
          <w:rFonts w:hint="default" w:ascii="Times New Roman" w:hAnsi="Times New Roman" w:eastAsia="仿宋_GB2312" w:cs="Times New Roman"/>
          <w:color w:val="auto"/>
          <w:sz w:val="32"/>
          <w:szCs w:val="32"/>
          <w:highlight w:val="none"/>
          <w:u w:val="none"/>
          <w:lang w:val="en-US" w:eastAsia="zh-CN"/>
        </w:rPr>
        <w:t>区域内更多企业纳入</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strike w:val="0"/>
          <w:dstrike w:val="0"/>
          <w:color w:val="auto"/>
          <w:kern w:val="0"/>
          <w:sz w:val="32"/>
          <w:szCs w:val="32"/>
          <w:highlight w:val="none"/>
          <w:u w:val="none"/>
          <w:lang w:val="en-US" w:eastAsia="zh-CN" w:bidi="ar-SA"/>
        </w:rPr>
        <w:t>离岸经贸业务企业</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名单</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对接</w:t>
      </w:r>
      <w:r>
        <w:rPr>
          <w:rFonts w:hint="default" w:ascii="Times New Roman" w:hAnsi="Times New Roman" w:eastAsia="仿宋_GB2312" w:cs="Times New Roman"/>
          <w:color w:val="auto"/>
          <w:sz w:val="32"/>
          <w:szCs w:val="32"/>
          <w:highlight w:val="none"/>
          <w:u w:val="none"/>
        </w:rPr>
        <w:t>“跨境通”“离岸通”平台</w:t>
      </w:r>
      <w:r>
        <w:rPr>
          <w:rFonts w:hint="default" w:ascii="Times New Roman" w:hAnsi="Times New Roman" w:eastAsia="仿宋_GB2312" w:cs="Times New Roman"/>
          <w:color w:val="auto"/>
          <w:sz w:val="32"/>
          <w:szCs w:val="32"/>
          <w:highlight w:val="none"/>
          <w:u w:val="none"/>
          <w:lang w:eastAsia="zh-CN"/>
        </w:rPr>
        <w:t>开展业务。</w:t>
      </w:r>
      <w:r>
        <w:rPr>
          <w:rFonts w:hint="default" w:ascii="Times New Roman" w:hAnsi="Times New Roman" w:eastAsia="方正楷体_GB18030" w:cs="Times New Roman"/>
          <w:color w:val="auto"/>
          <w:kern w:val="0"/>
          <w:sz w:val="32"/>
          <w:szCs w:val="32"/>
          <w:highlight w:val="none"/>
          <w:u w:val="none"/>
          <w:lang w:val="en-US" w:eastAsia="zh-CN" w:bidi="ar"/>
        </w:rPr>
        <w:t>（责任单位：中国人民银行上海总部、市商务委、浦东新区（上海自贸试验区管委会）、临港新片区管委会）</w:t>
      </w:r>
    </w:p>
    <w:p w14:paraId="69E2B43E">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5.探索医疗服务贸易创新。</w:t>
      </w:r>
      <w:r>
        <w:rPr>
          <w:rFonts w:hint="default" w:ascii="Times New Roman" w:hAnsi="Times New Roman" w:eastAsia="仿宋_GB2312" w:cs="Times New Roman"/>
          <w:color w:val="auto"/>
          <w:sz w:val="32"/>
          <w:szCs w:val="32"/>
          <w:highlight w:val="none"/>
          <w:u w:val="none"/>
          <w:lang w:val="en-US" w:eastAsia="zh-CN"/>
        </w:rPr>
        <w:t>支持新虹桥国际医学园区社会办医机构与市级公立医院深化合作，加强设施设备、医疗服务网络优势资源互补。</w:t>
      </w:r>
      <w:r>
        <w:rPr>
          <w:rFonts w:hint="default" w:ascii="Times New Roman" w:hAnsi="Times New Roman" w:eastAsia="方正楷体_GB18030" w:cs="Times New Roman"/>
          <w:color w:val="auto"/>
          <w:kern w:val="0"/>
          <w:sz w:val="32"/>
          <w:szCs w:val="32"/>
          <w:highlight w:val="none"/>
          <w:u w:val="none"/>
          <w:lang w:val="en-US" w:eastAsia="zh-CN" w:bidi="ar"/>
        </w:rPr>
        <w:t>（责任单位：市卫生健康委）</w:t>
      </w:r>
    </w:p>
    <w:p w14:paraId="6297A31C">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rPr>
          <w:rFonts w:hint="default" w:ascii="Times New Roman" w:hAnsi="Times New Roman" w:eastAsia="方正楷体_GB18030"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6.支持</w:t>
      </w:r>
      <w:r>
        <w:rPr>
          <w:rFonts w:hint="default" w:ascii="Times New Roman" w:hAnsi="Times New Roman" w:eastAsia="仿宋_GB2312" w:cs="Times New Roman"/>
          <w:b/>
          <w:bCs/>
          <w:color w:val="auto"/>
          <w:kern w:val="0"/>
          <w:sz w:val="32"/>
          <w:szCs w:val="32"/>
          <w:highlight w:val="none"/>
          <w:u w:val="none"/>
          <w:lang w:bidi="ar"/>
        </w:rPr>
        <w:t>科研仪器设备</w:t>
      </w:r>
      <w:r>
        <w:rPr>
          <w:rFonts w:hint="default" w:ascii="Times New Roman" w:hAnsi="Times New Roman" w:eastAsia="仿宋_GB2312" w:cs="Times New Roman"/>
          <w:b/>
          <w:bCs/>
          <w:color w:val="auto"/>
          <w:kern w:val="0"/>
          <w:sz w:val="32"/>
          <w:szCs w:val="32"/>
          <w:highlight w:val="none"/>
          <w:u w:val="none"/>
          <w:lang w:val="en-US" w:eastAsia="zh-CN" w:bidi="ar"/>
        </w:rPr>
        <w:t>共享。</w:t>
      </w:r>
      <w:r>
        <w:rPr>
          <w:rFonts w:hint="default" w:ascii="Times New Roman" w:hAnsi="Times New Roman" w:eastAsia="仿宋_GB2312" w:cs="Times New Roman"/>
          <w:color w:val="auto"/>
          <w:sz w:val="32"/>
          <w:szCs w:val="32"/>
          <w:highlight w:val="none"/>
          <w:u w:val="none"/>
          <w:lang w:val="en-US" w:eastAsia="zh-CN"/>
        </w:rPr>
        <w:t>探索建立“大零号湾”科技创新策源功能区和张江科学城</w:t>
      </w:r>
      <w:r>
        <w:rPr>
          <w:rFonts w:hint="default" w:ascii="Times New Roman" w:hAnsi="Times New Roman" w:eastAsia="仿宋_GB2312" w:cs="Times New Roman"/>
          <w:color w:val="auto"/>
          <w:sz w:val="32"/>
          <w:szCs w:val="32"/>
          <w:highlight w:val="none"/>
          <w:u w:val="none"/>
        </w:rPr>
        <w:t>科研仪器设备</w:t>
      </w:r>
      <w:r>
        <w:rPr>
          <w:rFonts w:hint="default" w:ascii="Times New Roman" w:hAnsi="Times New Roman" w:eastAsia="仿宋_GB2312" w:cs="Times New Roman"/>
          <w:color w:val="auto"/>
          <w:sz w:val="32"/>
          <w:szCs w:val="32"/>
          <w:highlight w:val="none"/>
          <w:u w:val="none"/>
          <w:lang w:eastAsia="zh-CN"/>
        </w:rPr>
        <w:t>共享</w:t>
      </w:r>
      <w:r>
        <w:rPr>
          <w:rFonts w:hint="default" w:ascii="Times New Roman" w:hAnsi="Times New Roman" w:eastAsia="仿宋_GB2312" w:cs="Times New Roman"/>
          <w:color w:val="auto"/>
          <w:sz w:val="32"/>
          <w:szCs w:val="32"/>
          <w:highlight w:val="none"/>
          <w:u w:val="none"/>
          <w:lang w:val="en-US" w:eastAsia="zh-CN"/>
        </w:rPr>
        <w:t>清单</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方正楷体_GB18030" w:cs="Times New Roman"/>
          <w:color w:val="auto"/>
          <w:kern w:val="0"/>
          <w:sz w:val="32"/>
          <w:szCs w:val="32"/>
          <w:highlight w:val="none"/>
          <w:u w:val="none"/>
          <w:lang w:val="en-US" w:eastAsia="zh-CN" w:bidi="ar"/>
        </w:rPr>
        <w:t>（责任单位：浦东新区（上海自贸试验区管委会）、市科委、市知识产权局）</w:t>
      </w:r>
    </w:p>
    <w:p w14:paraId="21FAA9EF">
      <w:pPr>
        <w:keepNext w:val="0"/>
        <w:keepLines w:val="0"/>
        <w:pageBreakBefore w:val="0"/>
        <w:widowControl/>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方正楷体_GB18030"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7.促进</w:t>
      </w:r>
      <w:r>
        <w:rPr>
          <w:rFonts w:hint="default" w:ascii="Times New Roman" w:hAnsi="Times New Roman" w:eastAsia="仿宋_GB2312" w:cs="Times New Roman"/>
          <w:b/>
          <w:bCs/>
          <w:color w:val="auto"/>
          <w:kern w:val="0"/>
          <w:sz w:val="32"/>
          <w:szCs w:val="32"/>
          <w:highlight w:val="none"/>
          <w:u w:val="none"/>
          <w:lang w:bidi="ar"/>
        </w:rPr>
        <w:t>高端装备领域</w:t>
      </w:r>
      <w:r>
        <w:rPr>
          <w:rFonts w:hint="default" w:ascii="Times New Roman" w:hAnsi="Times New Roman" w:eastAsia="仿宋_GB2312" w:cs="Times New Roman"/>
          <w:b/>
          <w:bCs/>
          <w:color w:val="auto"/>
          <w:kern w:val="0"/>
          <w:sz w:val="32"/>
          <w:szCs w:val="32"/>
          <w:highlight w:val="none"/>
          <w:u w:val="none"/>
          <w:lang w:eastAsia="zh-CN" w:bidi="ar"/>
        </w:rPr>
        <w:t>跨区域产业合作。</w:t>
      </w:r>
      <w:r>
        <w:rPr>
          <w:rFonts w:hint="default" w:ascii="Times New Roman" w:hAnsi="Times New Roman" w:eastAsia="仿宋_GB2312" w:cs="Times New Roman"/>
          <w:color w:val="auto"/>
          <w:sz w:val="32"/>
          <w:szCs w:val="32"/>
          <w:highlight w:val="none"/>
          <w:u w:val="none"/>
          <w:lang w:val="en-US" w:eastAsia="zh-CN"/>
        </w:rPr>
        <w:t>在航空航天、船舶动力等</w:t>
      </w:r>
      <w:r>
        <w:rPr>
          <w:rFonts w:hint="default" w:ascii="Times New Roman" w:hAnsi="Times New Roman" w:eastAsia="仿宋_GB2312" w:cs="Times New Roman"/>
          <w:color w:val="auto"/>
          <w:sz w:val="32"/>
          <w:szCs w:val="32"/>
          <w:highlight w:val="none"/>
          <w:u w:val="none"/>
        </w:rPr>
        <w:t>高端装备领域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试点</w:t>
      </w:r>
      <w:r>
        <w:rPr>
          <w:rFonts w:hint="default" w:ascii="Times New Roman" w:hAnsi="Times New Roman" w:eastAsia="仿宋_GB2312" w:cs="Times New Roman"/>
          <w:color w:val="auto"/>
          <w:sz w:val="32"/>
          <w:szCs w:val="32"/>
          <w:highlight w:val="none"/>
          <w:u w:val="none"/>
        </w:rPr>
        <w:t>“闵行总部研发+临港产业化试验验证”</w:t>
      </w:r>
      <w:r>
        <w:rPr>
          <w:rFonts w:hint="default" w:ascii="Times New Roman" w:hAnsi="Times New Roman" w:eastAsia="仿宋_GB2312" w:cs="Times New Roman"/>
          <w:color w:val="auto"/>
          <w:sz w:val="32"/>
          <w:szCs w:val="32"/>
          <w:highlight w:val="none"/>
          <w:u w:val="none"/>
          <w:lang w:eastAsia="zh-CN"/>
        </w:rPr>
        <w:t>跨区域合作</w:t>
      </w:r>
      <w:r>
        <w:rPr>
          <w:rFonts w:hint="default" w:ascii="Times New Roman" w:hAnsi="Times New Roman" w:eastAsia="仿宋_GB2312" w:cs="Times New Roman"/>
          <w:color w:val="auto"/>
          <w:sz w:val="32"/>
          <w:szCs w:val="32"/>
          <w:highlight w:val="none"/>
          <w:u w:val="none"/>
        </w:rPr>
        <w:t>模式。</w:t>
      </w:r>
      <w:r>
        <w:rPr>
          <w:rFonts w:hint="default" w:ascii="Times New Roman" w:hAnsi="Times New Roman" w:eastAsia="方正楷体_GB18030" w:cs="Times New Roman"/>
          <w:color w:val="auto"/>
          <w:kern w:val="0"/>
          <w:sz w:val="32"/>
          <w:szCs w:val="32"/>
          <w:highlight w:val="none"/>
          <w:u w:val="none"/>
          <w:lang w:val="en-US" w:eastAsia="zh-CN" w:bidi="ar"/>
        </w:rPr>
        <w:t>（责任单位：市经济信息化委、临港新片区管委会）</w:t>
      </w:r>
    </w:p>
    <w:p w14:paraId="6F1D76DA">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仿宋_GB2312" w:cs="Times New Roman"/>
          <w:b/>
          <w:bCs/>
          <w:strike w:val="0"/>
          <w:dstrike w:val="0"/>
          <w:color w:val="auto"/>
          <w:sz w:val="32"/>
          <w:szCs w:val="32"/>
          <w:highlight w:val="none"/>
          <w:u w:val="none"/>
          <w:lang w:val="en-US" w:eastAsia="zh-CN"/>
        </w:rPr>
      </w:pPr>
      <w:r>
        <w:rPr>
          <w:rFonts w:hint="default" w:ascii="Times New Roman" w:hAnsi="Times New Roman" w:eastAsia="仿宋_GB2312" w:cs="Times New Roman"/>
          <w:b/>
          <w:bCs/>
          <w:color w:val="auto"/>
          <w:kern w:val="0"/>
          <w:sz w:val="32"/>
          <w:szCs w:val="32"/>
          <w:highlight w:val="none"/>
          <w:u w:val="none"/>
          <w:lang w:val="en-US" w:eastAsia="zh-CN" w:bidi="ar"/>
        </w:rPr>
        <w:t>8.促进</w:t>
      </w:r>
      <w:r>
        <w:rPr>
          <w:rFonts w:hint="default" w:ascii="Times New Roman" w:hAnsi="Times New Roman" w:eastAsia="仿宋_GB2312" w:cs="Times New Roman"/>
          <w:b/>
          <w:bCs/>
          <w:color w:val="auto"/>
          <w:kern w:val="0"/>
          <w:sz w:val="32"/>
          <w:szCs w:val="32"/>
          <w:highlight w:val="none"/>
          <w:u w:val="none"/>
          <w:lang w:eastAsia="zh-CN" w:bidi="ar"/>
        </w:rPr>
        <w:t>低空经济</w:t>
      </w:r>
      <w:r>
        <w:rPr>
          <w:rFonts w:hint="default" w:ascii="Times New Roman" w:hAnsi="Times New Roman" w:eastAsia="仿宋_GB2312" w:cs="Times New Roman"/>
          <w:b/>
          <w:bCs/>
          <w:color w:val="auto"/>
          <w:kern w:val="0"/>
          <w:sz w:val="32"/>
          <w:szCs w:val="32"/>
          <w:highlight w:val="none"/>
          <w:u w:val="none"/>
          <w:lang w:val="en-US" w:eastAsia="zh-CN" w:bidi="ar"/>
        </w:rPr>
        <w:t>产业联动发展。</w:t>
      </w:r>
      <w:r>
        <w:rPr>
          <w:rFonts w:hint="default" w:ascii="Times New Roman" w:hAnsi="Times New Roman" w:eastAsia="仿宋_GB2312" w:cs="Times New Roman"/>
          <w:color w:val="auto"/>
          <w:kern w:val="0"/>
          <w:sz w:val="32"/>
          <w:szCs w:val="32"/>
          <w:highlight w:val="none"/>
          <w:u w:val="none"/>
          <w:lang w:eastAsia="zh-CN" w:bidi="ar"/>
        </w:rPr>
        <w:t>探索与临港新片区联动开展</w:t>
      </w:r>
      <w:r>
        <w:rPr>
          <w:rFonts w:hint="default" w:ascii="Times New Roman" w:hAnsi="Times New Roman" w:eastAsia="仿宋_GB2312" w:cs="Times New Roman"/>
          <w:color w:val="auto"/>
          <w:kern w:val="0"/>
          <w:sz w:val="32"/>
          <w:szCs w:val="32"/>
          <w:highlight w:val="none"/>
          <w:u w:val="none"/>
          <w:lang w:val="en-US" w:eastAsia="zh-CN" w:bidi="ar"/>
        </w:rPr>
        <w:t>e</w:t>
      </w:r>
      <w:r>
        <w:rPr>
          <w:rFonts w:hint="default" w:ascii="Times New Roman" w:hAnsi="Times New Roman" w:eastAsia="仿宋_GB2312" w:cs="Times New Roman"/>
          <w:color w:val="auto"/>
          <w:kern w:val="0"/>
          <w:sz w:val="32"/>
          <w:szCs w:val="32"/>
          <w:highlight w:val="none"/>
          <w:u w:val="none"/>
          <w:lang w:eastAsia="zh-CN" w:bidi="ar"/>
        </w:rPr>
        <w:t>VTOL适航取证、适飞交付、整机和零部件出口、</w:t>
      </w:r>
      <w:r>
        <w:rPr>
          <w:rFonts w:hint="default" w:ascii="Times New Roman" w:hAnsi="Times New Roman" w:eastAsia="仿宋_GB2312" w:cs="Times New Roman"/>
          <w:color w:val="auto"/>
          <w:kern w:val="0"/>
          <w:sz w:val="32"/>
          <w:szCs w:val="32"/>
          <w:highlight w:val="none"/>
          <w:u w:val="none"/>
          <w:lang w:val="en-US" w:eastAsia="zh-CN" w:bidi="ar"/>
        </w:rPr>
        <w:t>飞行员培训</w:t>
      </w:r>
      <w:r>
        <w:rPr>
          <w:rFonts w:hint="default" w:ascii="Times New Roman" w:hAnsi="Times New Roman" w:eastAsia="仿宋_GB2312" w:cs="Times New Roman"/>
          <w:color w:val="auto"/>
          <w:kern w:val="0"/>
          <w:sz w:val="32"/>
          <w:szCs w:val="32"/>
          <w:highlight w:val="none"/>
          <w:u w:val="none"/>
          <w:lang w:eastAsia="zh-CN" w:bidi="ar"/>
        </w:rPr>
        <w:t>等工作。</w:t>
      </w:r>
      <w:r>
        <w:rPr>
          <w:rFonts w:hint="default" w:ascii="Times New Roman" w:hAnsi="Times New Roman" w:eastAsia="方正楷体_GB18030" w:cs="Times New Roman"/>
          <w:color w:val="auto"/>
          <w:kern w:val="0"/>
          <w:sz w:val="32"/>
          <w:szCs w:val="32"/>
          <w:highlight w:val="none"/>
          <w:u w:val="none"/>
          <w:lang w:val="en-US" w:eastAsia="zh-CN" w:bidi="ar"/>
        </w:rPr>
        <w:t>（责任单位：市交通委、</w:t>
      </w:r>
      <w:r>
        <w:rPr>
          <w:rFonts w:hint="eastAsia" w:ascii="Times New Roman" w:hAnsi="Times New Roman" w:eastAsia="方正楷体_GB18030" w:cs="Times New Roman"/>
          <w:color w:val="auto"/>
          <w:kern w:val="0"/>
          <w:sz w:val="32"/>
          <w:szCs w:val="32"/>
          <w:highlight w:val="none"/>
          <w:u w:val="none"/>
          <w:lang w:val="en-US" w:eastAsia="zh-CN" w:bidi="ar"/>
        </w:rPr>
        <w:t>民航华东地区管理局</w:t>
      </w:r>
      <w:r>
        <w:rPr>
          <w:rFonts w:hint="default" w:ascii="Times New Roman" w:hAnsi="Times New Roman" w:eastAsia="方正楷体_GB18030" w:cs="Times New Roman"/>
          <w:color w:val="auto"/>
          <w:kern w:val="0"/>
          <w:sz w:val="32"/>
          <w:szCs w:val="32"/>
          <w:highlight w:val="none"/>
          <w:u w:val="none"/>
          <w:lang w:val="en-US" w:eastAsia="zh-CN" w:bidi="ar"/>
        </w:rPr>
        <w:t>、临港新片区管委会）</w:t>
      </w:r>
    </w:p>
    <w:p w14:paraId="6449A175">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楷体"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kern w:val="0"/>
          <w:sz w:val="32"/>
          <w:szCs w:val="32"/>
          <w:highlight w:val="none"/>
          <w:u w:val="none"/>
          <w:lang w:val="en-US" w:eastAsia="zh-CN" w:bidi="ar"/>
        </w:rPr>
        <w:t>9</w:t>
      </w:r>
      <w:r>
        <w:rPr>
          <w:rFonts w:hint="default" w:ascii="Times New Roman" w:hAnsi="Times New Roman" w:eastAsia="仿宋_GB2312" w:cs="Times New Roman"/>
          <w:b/>
          <w:bCs/>
          <w:color w:val="auto"/>
          <w:kern w:val="0"/>
          <w:sz w:val="32"/>
          <w:szCs w:val="32"/>
          <w:highlight w:val="none"/>
          <w:u w:val="none"/>
          <w:lang w:bidi="ar"/>
        </w:rPr>
        <w:t>.</w:t>
      </w:r>
      <w:r>
        <w:rPr>
          <w:rFonts w:hint="default" w:ascii="Times New Roman" w:hAnsi="Times New Roman" w:eastAsia="仿宋_GB2312" w:cs="Times New Roman"/>
          <w:b/>
          <w:bCs/>
          <w:color w:val="auto"/>
          <w:kern w:val="0"/>
          <w:sz w:val="32"/>
          <w:szCs w:val="32"/>
          <w:highlight w:val="none"/>
          <w:u w:val="none"/>
          <w:lang w:val="en-US" w:eastAsia="zh-CN" w:bidi="ar"/>
        </w:rPr>
        <w:t>推动重点领域专利快速审查</w:t>
      </w:r>
      <w:r>
        <w:rPr>
          <w:rFonts w:hint="default" w:ascii="Times New Roman" w:hAnsi="Times New Roman" w:eastAsia="仿宋_GB2312" w:cs="Times New Roman"/>
          <w:b/>
          <w:bCs/>
          <w:color w:val="auto"/>
          <w:kern w:val="0"/>
          <w:sz w:val="32"/>
          <w:szCs w:val="32"/>
          <w:highlight w:val="none"/>
          <w:u w:val="none"/>
          <w:lang w:bidi="ar"/>
        </w:rPr>
        <w:t>。</w:t>
      </w:r>
      <w:r>
        <w:rPr>
          <w:rFonts w:hint="default" w:ascii="Times New Roman" w:hAnsi="Times New Roman" w:eastAsia="仿宋_GB2312" w:cs="Times New Roman"/>
          <w:color w:val="auto"/>
          <w:sz w:val="32"/>
          <w:szCs w:val="32"/>
          <w:highlight w:val="none"/>
          <w:u w:val="none"/>
        </w:rPr>
        <w:t>支持与</w:t>
      </w:r>
      <w:r>
        <w:rPr>
          <w:rFonts w:hint="default" w:ascii="Times New Roman" w:hAnsi="Times New Roman" w:eastAsia="仿宋_GB2312" w:cs="Times New Roman"/>
          <w:color w:val="auto"/>
          <w:sz w:val="32"/>
          <w:szCs w:val="32"/>
          <w:highlight w:val="none"/>
          <w:u w:val="none"/>
          <w:lang w:eastAsia="zh-CN"/>
        </w:rPr>
        <w:t>中国（浦东）</w:t>
      </w:r>
      <w:r>
        <w:rPr>
          <w:rFonts w:hint="default" w:ascii="Times New Roman" w:hAnsi="Times New Roman" w:eastAsia="仿宋_GB2312" w:cs="Times New Roman"/>
          <w:color w:val="auto"/>
          <w:sz w:val="32"/>
          <w:szCs w:val="32"/>
          <w:highlight w:val="none"/>
          <w:u w:val="none"/>
        </w:rPr>
        <w:t>知识产权保护中心联动，推进高端装备、生物医药、人工智能等重点领域专利快速审查。</w:t>
      </w:r>
      <w:r>
        <w:rPr>
          <w:rFonts w:hint="default" w:ascii="Times New Roman" w:hAnsi="Times New Roman" w:eastAsia="方正楷体_GB18030" w:cs="Times New Roman"/>
          <w:color w:val="auto"/>
          <w:kern w:val="0"/>
          <w:sz w:val="32"/>
          <w:szCs w:val="32"/>
          <w:highlight w:val="none"/>
          <w:u w:val="none"/>
          <w:lang w:val="en-US" w:eastAsia="zh-CN" w:bidi="ar"/>
        </w:rPr>
        <w:t>（责任单位：浦东新区（上海自贸试验区管委会）、市知识产权局）</w:t>
      </w:r>
    </w:p>
    <w:p w14:paraId="0C8D2B84">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kern w:val="0"/>
          <w:sz w:val="32"/>
          <w:szCs w:val="32"/>
          <w:highlight w:val="none"/>
          <w:u w:val="none"/>
          <w:lang w:val="en-US" w:eastAsia="zh-CN" w:bidi="ar"/>
        </w:rPr>
        <w:t>10.试点缩短药品临床试验审批时限。</w:t>
      </w:r>
      <w:r>
        <w:rPr>
          <w:rFonts w:hint="default" w:ascii="Times New Roman" w:hAnsi="Times New Roman" w:eastAsia="仿宋_GB2312" w:cs="Times New Roman"/>
          <w:b w:val="0"/>
          <w:bCs w:val="0"/>
          <w:color w:val="auto"/>
          <w:kern w:val="0"/>
          <w:sz w:val="32"/>
          <w:szCs w:val="32"/>
          <w:highlight w:val="none"/>
          <w:u w:val="none"/>
          <w:lang w:val="en-US" w:eastAsia="zh-CN" w:bidi="ar"/>
        </w:rPr>
        <w:t>支持在区域内</w:t>
      </w:r>
      <w:r>
        <w:rPr>
          <w:rFonts w:hint="default" w:ascii="Times New Roman" w:hAnsi="Times New Roman" w:eastAsia="仿宋_GB2312" w:cs="Times New Roman"/>
          <w:color w:val="auto"/>
          <w:sz w:val="32"/>
          <w:szCs w:val="32"/>
          <w:highlight w:val="none"/>
          <w:u w:val="none"/>
        </w:rPr>
        <w:t>建设</w:t>
      </w:r>
      <w:r>
        <w:rPr>
          <w:rFonts w:hint="eastAsia" w:ascii="Times New Roman" w:hAnsi="Times New Roman" w:eastAsia="仿宋_GB2312" w:cs="Times New Roman"/>
          <w:color w:val="auto"/>
          <w:sz w:val="32"/>
          <w:szCs w:val="32"/>
          <w:highlight w:val="none"/>
          <w:u w:val="none"/>
          <w:lang w:val="en-US" w:eastAsia="zh-CN"/>
        </w:rPr>
        <w:t>闵行区</w:t>
      </w:r>
      <w:r>
        <w:rPr>
          <w:rFonts w:hint="default" w:ascii="Times New Roman" w:hAnsi="Times New Roman" w:eastAsia="仿宋_GB2312" w:cs="Times New Roman"/>
          <w:color w:val="auto"/>
          <w:sz w:val="32"/>
          <w:szCs w:val="32"/>
          <w:highlight w:val="none"/>
          <w:u w:val="none"/>
        </w:rPr>
        <w:t>药品审评</w:t>
      </w:r>
      <w:r>
        <w:rPr>
          <w:rFonts w:hint="eastAsia" w:ascii="Times New Roman" w:hAnsi="Times New Roman" w:eastAsia="仿宋_GB2312" w:cs="Times New Roman"/>
          <w:color w:val="auto"/>
          <w:sz w:val="32"/>
          <w:szCs w:val="32"/>
          <w:highlight w:val="none"/>
          <w:u w:val="none"/>
          <w:lang w:eastAsia="zh-CN"/>
        </w:rPr>
        <w:t>核查服务中心。</w:t>
      </w:r>
      <w:r>
        <w:rPr>
          <w:rFonts w:hint="default" w:ascii="Times New Roman" w:hAnsi="Times New Roman" w:eastAsia="仿宋_GB2312" w:cs="Times New Roman"/>
          <w:color w:val="auto"/>
          <w:sz w:val="32"/>
          <w:szCs w:val="32"/>
          <w:highlight w:val="none"/>
          <w:u w:val="none"/>
          <w:lang w:val="en-US" w:eastAsia="zh-CN"/>
        </w:rPr>
        <w:t>争取</w:t>
      </w:r>
      <w:r>
        <w:rPr>
          <w:rFonts w:hint="default" w:ascii="Times New Roman" w:hAnsi="Times New Roman" w:eastAsia="仿宋_GB2312" w:cs="Times New Roman"/>
          <w:color w:val="auto"/>
          <w:sz w:val="32"/>
          <w:szCs w:val="32"/>
          <w:highlight w:val="none"/>
          <w:u w:val="none"/>
        </w:rPr>
        <w:t>试点实施“药品补充申请审评时限从200日压缩至60日、药品临床试验审批时限从60日压缩至30日”</w:t>
      </w:r>
      <w:r>
        <w:rPr>
          <w:rFonts w:hint="default" w:ascii="Times New Roman" w:hAnsi="Times New Roman" w:eastAsia="仿宋_GB2312" w:cs="Times New Roman"/>
          <w:color w:val="auto"/>
          <w:sz w:val="32"/>
          <w:szCs w:val="32"/>
          <w:highlight w:val="none"/>
          <w:u w:val="none"/>
          <w:lang w:val="en-US" w:eastAsia="zh-CN"/>
        </w:rPr>
        <w:t>等国家创新试点。</w:t>
      </w:r>
      <w:r>
        <w:rPr>
          <w:rFonts w:hint="default" w:ascii="Times New Roman" w:hAnsi="Times New Roman" w:eastAsia="方正楷体_GB18030" w:cs="Times New Roman"/>
          <w:color w:val="auto"/>
          <w:kern w:val="0"/>
          <w:sz w:val="32"/>
          <w:szCs w:val="32"/>
          <w:highlight w:val="none"/>
          <w:u w:val="none"/>
          <w:lang w:val="en-US" w:eastAsia="zh-CN" w:bidi="ar"/>
        </w:rPr>
        <w:t>（责任单位：市药品监管局、市卫生健康委）</w:t>
      </w:r>
    </w:p>
    <w:p w14:paraId="4F63E97E">
      <w:pPr>
        <w:keepNext w:val="0"/>
        <w:keepLines w:val="0"/>
        <w:pageBreakBefore w:val="0"/>
        <w:widowControl/>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11</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b/>
          <w:bCs/>
          <w:color w:val="auto"/>
          <w:sz w:val="32"/>
          <w:szCs w:val="32"/>
          <w:highlight w:val="none"/>
          <w:u w:val="none"/>
          <w:lang w:val="en-US" w:eastAsia="zh-CN"/>
        </w:rPr>
        <w:t>完善境外投资项目综合服务</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lang w:eastAsia="zh-CN"/>
        </w:rPr>
        <w:t>支持</w:t>
      </w:r>
      <w:r>
        <w:rPr>
          <w:rFonts w:hint="default" w:ascii="Times New Roman" w:hAnsi="Times New Roman" w:eastAsia="仿宋_GB2312" w:cs="Times New Roman"/>
          <w:color w:val="auto"/>
          <w:sz w:val="32"/>
          <w:szCs w:val="32"/>
          <w:highlight w:val="none"/>
          <w:u w:val="none"/>
          <w:lang w:val="en-US" w:eastAsia="zh-CN"/>
        </w:rPr>
        <w:t>依托</w:t>
      </w:r>
      <w:r>
        <w:rPr>
          <w:rFonts w:hint="eastAsia" w:ascii="Times New Roman" w:hAnsi="Times New Roman" w:eastAsia="仿宋_GB2312" w:cs="Times New Roman"/>
          <w:color w:val="auto"/>
          <w:sz w:val="32"/>
          <w:szCs w:val="32"/>
          <w:highlight w:val="none"/>
          <w:u w:val="none"/>
          <w:lang w:val="en-US" w:eastAsia="zh-CN"/>
        </w:rPr>
        <w:t>本市</w:t>
      </w:r>
      <w:r>
        <w:rPr>
          <w:rFonts w:hint="default" w:ascii="Times New Roman" w:hAnsi="Times New Roman" w:eastAsia="仿宋_GB2312" w:cs="Times New Roman"/>
          <w:color w:val="auto"/>
          <w:sz w:val="32"/>
          <w:szCs w:val="32"/>
          <w:highlight w:val="none"/>
          <w:u w:val="none"/>
          <w:lang w:val="en-US" w:eastAsia="zh-CN"/>
        </w:rPr>
        <w:t>现有的市区联动综合服务机制，建立境外投资项目储备库，加强对区域内企业的境外投资政策辅导。</w:t>
      </w:r>
      <w:r>
        <w:rPr>
          <w:rFonts w:hint="default" w:ascii="Times New Roman" w:hAnsi="Times New Roman" w:eastAsia="方正楷体_GB18030" w:cs="Times New Roman"/>
          <w:color w:val="auto"/>
          <w:kern w:val="0"/>
          <w:sz w:val="32"/>
          <w:szCs w:val="32"/>
          <w:highlight w:val="none"/>
          <w:u w:val="none"/>
          <w:lang w:val="en-US" w:eastAsia="zh-CN" w:bidi="ar"/>
        </w:rPr>
        <w:t>（责任单位：市发展改革委）</w:t>
      </w:r>
    </w:p>
    <w:p w14:paraId="46DA612C">
      <w:pPr>
        <w:pStyle w:val="2"/>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方正楷体_GB18030" w:cs="Times New Roman"/>
          <w:highlight w:val="none"/>
          <w:u w:val="none"/>
          <w:lang w:val="en-US" w:eastAsia="zh-CN"/>
        </w:rPr>
      </w:pPr>
      <w:r>
        <w:rPr>
          <w:rFonts w:hint="default" w:ascii="Times New Roman" w:hAnsi="Times New Roman" w:eastAsia="仿宋_GB2312" w:cs="Times New Roman"/>
          <w:b/>
          <w:bCs/>
          <w:color w:val="auto"/>
          <w:kern w:val="2"/>
          <w:sz w:val="32"/>
          <w:szCs w:val="32"/>
          <w:highlight w:val="none"/>
          <w:u w:val="none"/>
          <w:lang w:val="en-US" w:eastAsia="zh-CN" w:bidi="ar-SA"/>
        </w:rPr>
        <w:t>12.深化商事登记制度改革。</w:t>
      </w:r>
      <w:r>
        <w:rPr>
          <w:rFonts w:hint="default" w:ascii="Times New Roman" w:hAnsi="Times New Roman" w:eastAsia="仿宋_GB2312" w:cs="Times New Roman"/>
          <w:b w:val="0"/>
          <w:bCs w:val="0"/>
          <w:color w:val="auto"/>
          <w:kern w:val="2"/>
          <w:sz w:val="32"/>
          <w:szCs w:val="32"/>
          <w:highlight w:val="none"/>
          <w:u w:val="none"/>
          <w:lang w:val="en-US" w:eastAsia="zh-CN" w:bidi="ar-SA"/>
        </w:rPr>
        <w:t>在区域内</w:t>
      </w:r>
      <w:r>
        <w:rPr>
          <w:rFonts w:hint="default" w:ascii="Times New Roman" w:hAnsi="Times New Roman" w:eastAsia="仿宋_GB2312" w:cs="Times New Roman"/>
          <w:color w:val="auto"/>
          <w:kern w:val="2"/>
          <w:sz w:val="32"/>
          <w:szCs w:val="32"/>
          <w:highlight w:val="none"/>
          <w:u w:val="none"/>
          <w:lang w:val="en-US" w:eastAsia="zh-CN" w:bidi="ar-SA"/>
        </w:rPr>
        <w:t>试点推广企业集中登记地住所托管制度改革。</w:t>
      </w:r>
      <w:r>
        <w:rPr>
          <w:rFonts w:hint="default" w:ascii="Times New Roman" w:hAnsi="Times New Roman" w:eastAsia="方正楷体_GB18030" w:cs="Times New Roman"/>
          <w:color w:val="auto"/>
          <w:kern w:val="0"/>
          <w:sz w:val="32"/>
          <w:szCs w:val="32"/>
          <w:highlight w:val="none"/>
          <w:u w:val="none"/>
          <w:lang w:val="en-US" w:eastAsia="zh-CN" w:bidi="ar"/>
        </w:rPr>
        <w:t>（责任单位：市市场监管局）</w:t>
      </w:r>
    </w:p>
    <w:p w14:paraId="679E3EB5">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sz w:val="32"/>
          <w:szCs w:val="32"/>
          <w:highlight w:val="none"/>
          <w:u w:val="none"/>
          <w:lang w:val="en-US" w:eastAsia="zh-CN"/>
        </w:rPr>
        <w:t>13.扩大</w:t>
      </w:r>
      <w:r>
        <w:rPr>
          <w:rFonts w:hint="default" w:ascii="Times New Roman" w:hAnsi="Times New Roman" w:eastAsia="仿宋_GB2312" w:cs="Times New Roman"/>
          <w:b/>
          <w:bCs/>
          <w:strike w:val="0"/>
          <w:dstrike w:val="0"/>
          <w:color w:val="auto"/>
          <w:sz w:val="32"/>
          <w:szCs w:val="32"/>
          <w:highlight w:val="none"/>
          <w:u w:val="none"/>
          <w:lang w:val="en-US" w:eastAsia="zh-CN"/>
        </w:rPr>
        <w:t>跨境贸易投资高水平开放试点。</w:t>
      </w:r>
      <w:r>
        <w:rPr>
          <w:rFonts w:hint="eastAsia" w:ascii="Times New Roman" w:hAnsi="Times New Roman" w:eastAsia="仿宋_GB2312" w:cs="Times New Roman"/>
          <w:strike w:val="0"/>
          <w:dstrike w:val="0"/>
          <w:color w:val="auto"/>
          <w:sz w:val="32"/>
          <w:szCs w:val="32"/>
          <w:highlight w:val="none"/>
          <w:u w:val="none"/>
          <w:lang w:val="en-US" w:eastAsia="zh-CN"/>
        </w:rPr>
        <w:t>针对</w:t>
      </w:r>
      <w:r>
        <w:rPr>
          <w:rFonts w:hint="default" w:ascii="Times New Roman" w:hAnsi="Times New Roman" w:eastAsia="仿宋_GB2312" w:cs="Times New Roman"/>
          <w:strike w:val="0"/>
          <w:dstrike w:val="0"/>
          <w:color w:val="auto"/>
          <w:sz w:val="32"/>
          <w:szCs w:val="32"/>
          <w:highlight w:val="none"/>
          <w:u w:val="none"/>
          <w:lang w:val="en-US" w:eastAsia="zh-CN"/>
        </w:rPr>
        <w:t>区域内优质企业单笔等值5万美元以上的服务贸易等项目外汇支出，</w:t>
      </w:r>
      <w:r>
        <w:rPr>
          <w:rFonts w:hint="eastAsia" w:ascii="Times New Roman" w:hAnsi="Times New Roman" w:eastAsia="仿宋_GB2312" w:cs="Times New Roman"/>
          <w:strike w:val="0"/>
          <w:dstrike w:val="0"/>
          <w:color w:val="auto"/>
          <w:sz w:val="32"/>
          <w:szCs w:val="32"/>
          <w:highlight w:val="none"/>
          <w:u w:val="none"/>
          <w:lang w:val="en-US" w:eastAsia="zh-CN"/>
        </w:rPr>
        <w:t>允许</w:t>
      </w:r>
      <w:r>
        <w:rPr>
          <w:rFonts w:hint="default" w:ascii="Times New Roman" w:hAnsi="Times New Roman" w:eastAsia="仿宋_GB2312" w:cs="Times New Roman"/>
          <w:strike w:val="0"/>
          <w:dstrike w:val="0"/>
          <w:color w:val="auto"/>
          <w:sz w:val="32"/>
          <w:szCs w:val="32"/>
          <w:highlight w:val="none"/>
          <w:u w:val="none"/>
          <w:lang w:val="en-US" w:eastAsia="zh-CN"/>
        </w:rPr>
        <w:t>事后核验《服务贸易等项目对外支付税务备案表》。</w:t>
      </w:r>
      <w:r>
        <w:rPr>
          <w:rFonts w:hint="default" w:ascii="Times New Roman" w:hAnsi="Times New Roman" w:eastAsia="方正楷体_GB18030" w:cs="Times New Roman"/>
          <w:color w:val="auto"/>
          <w:kern w:val="0"/>
          <w:sz w:val="32"/>
          <w:szCs w:val="32"/>
          <w:highlight w:val="none"/>
          <w:u w:val="none"/>
          <w:lang w:val="en-US" w:eastAsia="zh-CN" w:bidi="ar"/>
        </w:rPr>
        <w:t>（责任单位：中国人民银行上海总部、国家外汇管理局上海市分局）</w:t>
      </w:r>
    </w:p>
    <w:p w14:paraId="5F26414E">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1</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4</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.深化跨境资金池试点。</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支持区域内企业开设与其发展需要相适应的跨境资金池，集中运营管理境内外本外币资金。</w:t>
      </w:r>
      <w:r>
        <w:rPr>
          <w:rFonts w:hint="default" w:ascii="Times New Roman" w:hAnsi="Times New Roman" w:eastAsia="仿宋_GB2312" w:cs="Times New Roman"/>
          <w:strike w:val="0"/>
          <w:dstrike w:val="0"/>
          <w:color w:val="auto"/>
          <w:sz w:val="32"/>
          <w:szCs w:val="32"/>
          <w:highlight w:val="none"/>
          <w:u w:val="none"/>
          <w:lang w:val="en-US" w:eastAsia="zh-CN"/>
        </w:rPr>
        <w:t>（</w:t>
      </w:r>
      <w:r>
        <w:rPr>
          <w:rFonts w:hint="default" w:ascii="Times New Roman" w:hAnsi="Times New Roman" w:eastAsia="楷体_GB2312" w:cs="Times New Roman"/>
          <w:strike w:val="0"/>
          <w:dstrike w:val="0"/>
          <w:color w:val="auto"/>
          <w:sz w:val="32"/>
          <w:szCs w:val="32"/>
          <w:highlight w:val="none"/>
          <w:u w:val="none"/>
          <w:lang w:val="en-US" w:eastAsia="zh-CN"/>
        </w:rPr>
        <w:t>责任单位：中国人民银行上海总部、国家外汇管理局上海市分局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7A9D7750">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1</w:t>
      </w:r>
      <w:r>
        <w:rPr>
          <w:rFonts w:hint="eastAsia" w:ascii="Times New Roman" w:hAnsi="Times New Roman" w:eastAsia="仿宋_GB2312" w:cs="Times New Roman"/>
          <w:b/>
          <w:bCs/>
          <w:color w:val="auto"/>
          <w:kern w:val="0"/>
          <w:sz w:val="32"/>
          <w:szCs w:val="32"/>
          <w:highlight w:val="none"/>
          <w:u w:val="none"/>
          <w:lang w:val="en-US" w:eastAsia="zh-CN" w:bidi="ar"/>
        </w:rPr>
        <w:t>5</w:t>
      </w:r>
      <w:r>
        <w:rPr>
          <w:rFonts w:hint="default" w:ascii="Times New Roman" w:hAnsi="Times New Roman" w:eastAsia="仿宋_GB2312" w:cs="Times New Roman"/>
          <w:b/>
          <w:bCs/>
          <w:color w:val="auto"/>
          <w:kern w:val="0"/>
          <w:sz w:val="32"/>
          <w:szCs w:val="32"/>
          <w:highlight w:val="none"/>
          <w:u w:val="none"/>
          <w:lang w:val="en-US" w:eastAsia="zh-CN" w:bidi="ar"/>
        </w:rPr>
        <w:t>.</w:t>
      </w:r>
      <w:r>
        <w:rPr>
          <w:rFonts w:hint="default" w:ascii="Times New Roman" w:hAnsi="Times New Roman" w:eastAsia="仿宋_GB2312" w:cs="Times New Roman"/>
          <w:b/>
          <w:bCs/>
          <w:strike w:val="0"/>
          <w:dstrike w:val="0"/>
          <w:color w:val="auto"/>
          <w:sz w:val="32"/>
          <w:szCs w:val="32"/>
          <w:highlight w:val="none"/>
          <w:u w:val="none"/>
          <w:lang w:val="en-US" w:eastAsia="zh-CN"/>
        </w:rPr>
        <w:t>拓宽科创企业融资渠道。</w:t>
      </w:r>
      <w:r>
        <w:rPr>
          <w:rFonts w:hint="default" w:ascii="Times New Roman" w:hAnsi="Times New Roman" w:eastAsia="仿宋_GB2312" w:cs="Times New Roman"/>
          <w:b w:val="0"/>
          <w:bCs w:val="0"/>
          <w:strike w:val="0"/>
          <w:dstrike w:val="0"/>
          <w:color w:val="auto"/>
          <w:sz w:val="32"/>
          <w:szCs w:val="32"/>
          <w:highlight w:val="none"/>
          <w:u w:val="none"/>
          <w:lang w:val="en-US" w:eastAsia="zh-CN"/>
        </w:rPr>
        <w:t>支持在区域内推广</w:t>
      </w:r>
      <w:r>
        <w:rPr>
          <w:rFonts w:hint="default" w:ascii="Times New Roman" w:hAnsi="Times New Roman" w:eastAsia="仿宋_GB2312" w:cs="Times New Roman"/>
          <w:strike w:val="0"/>
          <w:dstrike w:val="0"/>
          <w:color w:val="auto"/>
          <w:sz w:val="32"/>
          <w:szCs w:val="32"/>
          <w:highlight w:val="none"/>
          <w:u w:val="none"/>
          <w:lang w:val="en-US" w:eastAsia="zh-CN"/>
        </w:rPr>
        <w:t>科创企业票据融资新模式，鼓励知识产权质押融资模式创新。（</w:t>
      </w:r>
      <w:r>
        <w:rPr>
          <w:rFonts w:hint="default" w:ascii="Times New Roman" w:hAnsi="Times New Roman" w:eastAsia="楷体_GB2312" w:cs="Times New Roman"/>
          <w:strike w:val="0"/>
          <w:dstrike w:val="0"/>
          <w:color w:val="auto"/>
          <w:sz w:val="32"/>
          <w:szCs w:val="32"/>
          <w:highlight w:val="none"/>
          <w:u w:val="none"/>
          <w:lang w:val="en-US" w:eastAsia="zh-CN"/>
        </w:rPr>
        <w:t>责任单位：市知识产权局、中国人民银行上海总部、上海金融监管局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5D1F72AE">
      <w:pPr>
        <w:keepNext w:val="0"/>
        <w:keepLines w:val="0"/>
        <w:pageBreakBefore w:val="0"/>
        <w:widowControl/>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1</w:t>
      </w:r>
      <w:r>
        <w:rPr>
          <w:rFonts w:hint="eastAsia" w:ascii="Times New Roman" w:hAnsi="Times New Roman" w:eastAsia="仿宋_GB2312" w:cs="Times New Roman"/>
          <w:b/>
          <w:bCs/>
          <w:color w:val="auto"/>
          <w:kern w:val="0"/>
          <w:sz w:val="32"/>
          <w:szCs w:val="32"/>
          <w:highlight w:val="none"/>
          <w:u w:val="none"/>
          <w:lang w:val="en-US" w:eastAsia="zh-CN" w:bidi="ar"/>
        </w:rPr>
        <w:t>6</w:t>
      </w:r>
      <w:r>
        <w:rPr>
          <w:rFonts w:hint="default" w:ascii="Times New Roman" w:hAnsi="Times New Roman" w:eastAsia="仿宋_GB2312" w:cs="Times New Roman"/>
          <w:b/>
          <w:bCs/>
          <w:color w:val="auto"/>
          <w:kern w:val="0"/>
          <w:sz w:val="32"/>
          <w:szCs w:val="32"/>
          <w:highlight w:val="none"/>
          <w:u w:val="none"/>
          <w:lang w:bidi="ar"/>
        </w:rPr>
        <w:t>.</w:t>
      </w:r>
      <w:r>
        <w:rPr>
          <w:rFonts w:hint="default" w:ascii="Times New Roman" w:hAnsi="Times New Roman" w:eastAsia="仿宋_GB2312" w:cs="Times New Roman"/>
          <w:b/>
          <w:bCs/>
          <w:strike w:val="0"/>
          <w:dstrike w:val="0"/>
          <w:color w:val="auto"/>
          <w:sz w:val="32"/>
          <w:szCs w:val="32"/>
          <w:highlight w:val="none"/>
          <w:u w:val="none"/>
          <w:lang w:val="en-US" w:eastAsia="zh-CN"/>
        </w:rPr>
        <w:t>深化混合用地探索。</w:t>
      </w:r>
      <w:r>
        <w:rPr>
          <w:rFonts w:hint="default" w:ascii="Times New Roman" w:hAnsi="Times New Roman" w:eastAsia="仿宋_GB2312" w:cs="Times New Roman"/>
          <w:strike w:val="0"/>
          <w:dstrike w:val="0"/>
          <w:color w:val="auto"/>
          <w:sz w:val="32"/>
          <w:szCs w:val="32"/>
          <w:highlight w:val="none"/>
          <w:u w:val="none"/>
          <w:lang w:val="en-US" w:eastAsia="zh-CN"/>
        </w:rPr>
        <w:t>在区域内试点实行混合用地、综合用地、创新型产业用地等政策，打造科研、办公、成果应用展示等模式混合利用的代表性项目，形成产业链“上楼”的实践案例。（</w:t>
      </w:r>
      <w:r>
        <w:rPr>
          <w:rFonts w:hint="default" w:ascii="Times New Roman" w:hAnsi="Times New Roman" w:eastAsia="楷体_GB2312" w:cs="Times New Roman"/>
          <w:strike w:val="0"/>
          <w:dstrike w:val="0"/>
          <w:color w:val="auto"/>
          <w:sz w:val="32"/>
          <w:szCs w:val="32"/>
          <w:highlight w:val="none"/>
          <w:u w:val="none"/>
          <w:lang w:val="en-US" w:eastAsia="zh-CN"/>
        </w:rPr>
        <w:t>责任单位：市规划资源局、市经济信息化委、市生态环境局</w:t>
      </w:r>
      <w:r>
        <w:rPr>
          <w:rFonts w:hint="default" w:ascii="Times New Roman" w:hAnsi="Times New Roman" w:eastAsia="仿宋_GB2312" w:cs="Times New Roman"/>
          <w:strike w:val="0"/>
          <w:dstrike w:val="0"/>
          <w:color w:val="auto"/>
          <w:sz w:val="32"/>
          <w:szCs w:val="32"/>
          <w:highlight w:val="none"/>
          <w:u w:val="none"/>
          <w:lang w:val="en-US" w:eastAsia="zh-CN"/>
        </w:rPr>
        <w:t>）</w:t>
      </w:r>
    </w:p>
    <w:p w14:paraId="6051152D">
      <w:pPr>
        <w:keepNext w:val="0"/>
        <w:keepLines w:val="0"/>
        <w:pageBreakBefore w:val="0"/>
        <w:widowControl w:val="0"/>
        <w:tabs>
          <w:tab w:val="left" w:pos="1363"/>
        </w:tabs>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方正楷体_GB18030"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1</w:t>
      </w:r>
      <w:r>
        <w:rPr>
          <w:rFonts w:hint="eastAsia" w:ascii="Times New Roman" w:hAnsi="Times New Roman" w:eastAsia="仿宋_GB2312" w:cs="Times New Roman"/>
          <w:b/>
          <w:bCs/>
          <w:color w:val="auto"/>
          <w:kern w:val="0"/>
          <w:sz w:val="32"/>
          <w:szCs w:val="32"/>
          <w:highlight w:val="none"/>
          <w:u w:val="none"/>
          <w:lang w:val="en-US" w:eastAsia="zh-CN" w:bidi="ar"/>
        </w:rPr>
        <w:t>7</w:t>
      </w:r>
      <w:r>
        <w:rPr>
          <w:rFonts w:hint="default" w:ascii="Times New Roman" w:hAnsi="Times New Roman" w:eastAsia="仿宋_GB2312" w:cs="Times New Roman"/>
          <w:b/>
          <w:bCs/>
          <w:color w:val="auto"/>
          <w:kern w:val="0"/>
          <w:sz w:val="32"/>
          <w:szCs w:val="32"/>
          <w:highlight w:val="none"/>
          <w:u w:val="none"/>
          <w:lang w:val="en-US" w:eastAsia="zh-CN" w:bidi="ar"/>
        </w:rPr>
        <w:t>.</w:t>
      </w:r>
      <w:r>
        <w:rPr>
          <w:rFonts w:hint="default" w:ascii="Times New Roman" w:hAnsi="Times New Roman" w:eastAsia="仿宋_GB2312" w:cs="Times New Roman"/>
          <w:b/>
          <w:bCs/>
          <w:strike w:val="0"/>
          <w:dstrike w:val="0"/>
          <w:color w:val="auto"/>
          <w:sz w:val="32"/>
          <w:szCs w:val="32"/>
          <w:highlight w:val="none"/>
          <w:u w:val="none"/>
          <w:lang w:val="en-US" w:eastAsia="zh-CN"/>
        </w:rPr>
        <w:t>定向优化应届高校毕业生落户政策</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赋予闵行区引进非上海生源应届高校毕业生落户重点扶持用人单位推荐权，用于推荐区域内</w:t>
      </w:r>
      <w:r>
        <w:rPr>
          <w:rFonts w:hint="default" w:ascii="Times New Roman" w:hAnsi="Times New Roman" w:eastAsia="仿宋_GB2312" w:cs="Times New Roman"/>
          <w:kern w:val="0"/>
          <w:sz w:val="32"/>
          <w:szCs w:val="32"/>
          <w:highlight w:val="none"/>
          <w:u w:val="none"/>
          <w:shd w:val="clear" w:color="auto" w:fill="FFFFFF"/>
          <w:lang w:eastAsia="zh-CN"/>
        </w:rPr>
        <w:t>新型国际贸易</w:t>
      </w:r>
      <w:r>
        <w:rPr>
          <w:rFonts w:hint="default" w:ascii="Times New Roman" w:hAnsi="Times New Roman" w:eastAsia="仿宋_GB2312" w:cs="Times New Roman"/>
          <w:kern w:val="0"/>
          <w:sz w:val="32"/>
          <w:szCs w:val="32"/>
          <w:highlight w:val="none"/>
          <w:u w:val="none"/>
          <w:shd w:val="clear" w:color="auto" w:fill="FFFFFF"/>
        </w:rPr>
        <w:t>和</w:t>
      </w:r>
      <w:r>
        <w:rPr>
          <w:rFonts w:hint="eastAsia" w:ascii="Times New Roman" w:hAnsi="Times New Roman" w:eastAsia="仿宋_GB2312" w:cs="Times New Roman"/>
          <w:kern w:val="0"/>
          <w:sz w:val="32"/>
          <w:szCs w:val="32"/>
          <w:highlight w:val="none"/>
          <w:u w:val="none"/>
          <w:shd w:val="clear" w:color="auto" w:fill="FFFFFF"/>
          <w:lang w:eastAsia="zh-CN"/>
        </w:rPr>
        <w:t>高端</w:t>
      </w:r>
      <w:r>
        <w:rPr>
          <w:rFonts w:hint="default" w:ascii="Times New Roman" w:hAnsi="Times New Roman" w:eastAsia="仿宋_GB2312" w:cs="Times New Roman"/>
          <w:kern w:val="0"/>
          <w:sz w:val="32"/>
          <w:szCs w:val="32"/>
          <w:highlight w:val="none"/>
          <w:u w:val="none"/>
          <w:shd w:val="clear" w:color="auto" w:fill="FFFFFF"/>
          <w:lang w:eastAsia="zh-CN"/>
        </w:rPr>
        <w:t>智能制造领域</w:t>
      </w:r>
      <w:r>
        <w:rPr>
          <w:rFonts w:hint="default" w:ascii="Times New Roman" w:hAnsi="Times New Roman" w:eastAsia="仿宋_GB2312" w:cs="Times New Roman"/>
          <w:strike w:val="0"/>
          <w:dstrike w:val="0"/>
          <w:color w:val="auto"/>
          <w:kern w:val="0"/>
          <w:sz w:val="32"/>
          <w:szCs w:val="32"/>
          <w:highlight w:val="none"/>
          <w:u w:val="none"/>
          <w:lang w:val="en-US" w:eastAsia="zh-CN" w:bidi="ar-SA"/>
        </w:rPr>
        <w:t>重点企业。</w:t>
      </w:r>
      <w:r>
        <w:rPr>
          <w:rFonts w:hint="default" w:ascii="Times New Roman" w:hAnsi="Times New Roman" w:eastAsia="方正楷体_GB18030" w:cs="Times New Roman"/>
          <w:strike w:val="0"/>
          <w:dstrike w:val="0"/>
          <w:color w:val="auto"/>
          <w:sz w:val="32"/>
          <w:szCs w:val="32"/>
          <w:highlight w:val="none"/>
          <w:u w:val="none"/>
          <w:lang w:val="en-US" w:eastAsia="zh-CN"/>
        </w:rPr>
        <w:t>（责任单位：市教委）</w:t>
      </w:r>
    </w:p>
    <w:p w14:paraId="516162B9">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方正楷体_GB18030" w:cs="Times New Roman"/>
          <w:color w:val="auto"/>
          <w:kern w:val="0"/>
          <w:sz w:val="32"/>
          <w:szCs w:val="32"/>
          <w:highlight w:val="none"/>
          <w:u w:val="none"/>
          <w:lang w:val="en-US" w:eastAsia="zh-CN" w:bidi="ar"/>
        </w:rPr>
      </w:pPr>
      <w:r>
        <w:rPr>
          <w:rFonts w:hint="default" w:ascii="Times New Roman" w:hAnsi="Times New Roman" w:eastAsia="仿宋_GB2312" w:cs="Times New Roman"/>
          <w:b/>
          <w:bCs/>
          <w:color w:val="auto"/>
          <w:kern w:val="0"/>
          <w:sz w:val="32"/>
          <w:szCs w:val="32"/>
          <w:highlight w:val="none"/>
          <w:u w:val="none"/>
          <w:lang w:val="en-US" w:eastAsia="zh-CN" w:bidi="ar"/>
        </w:rPr>
        <w:t>1</w:t>
      </w:r>
      <w:r>
        <w:rPr>
          <w:rFonts w:hint="eastAsia" w:ascii="Times New Roman" w:hAnsi="Times New Roman" w:eastAsia="仿宋_GB2312" w:cs="Times New Roman"/>
          <w:b/>
          <w:bCs/>
          <w:color w:val="auto"/>
          <w:kern w:val="0"/>
          <w:sz w:val="32"/>
          <w:szCs w:val="32"/>
          <w:highlight w:val="none"/>
          <w:u w:val="none"/>
          <w:lang w:val="en-US" w:eastAsia="zh-CN" w:bidi="ar"/>
        </w:rPr>
        <w:t>8</w:t>
      </w:r>
      <w:r>
        <w:rPr>
          <w:rFonts w:hint="default" w:ascii="Times New Roman" w:hAnsi="Times New Roman" w:eastAsia="仿宋_GB2312" w:cs="Times New Roman"/>
          <w:b/>
          <w:bCs/>
          <w:color w:val="auto"/>
          <w:kern w:val="0"/>
          <w:sz w:val="32"/>
          <w:szCs w:val="32"/>
          <w:highlight w:val="none"/>
          <w:u w:val="none"/>
          <w:lang w:val="en-US" w:eastAsia="zh-CN" w:bidi="ar"/>
        </w:rPr>
        <w:t>.</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提升外籍人才</w:t>
      </w:r>
      <w:r>
        <w:rPr>
          <w:rFonts w:hint="eastAsia" w:ascii="Times New Roman" w:hAnsi="Times New Roman" w:eastAsia="仿宋_GB2312" w:cs="Times New Roman"/>
          <w:b/>
          <w:bCs/>
          <w:strike w:val="0"/>
          <w:dstrike w:val="0"/>
          <w:color w:val="auto"/>
          <w:kern w:val="0"/>
          <w:sz w:val="32"/>
          <w:szCs w:val="32"/>
          <w:highlight w:val="none"/>
          <w:u w:val="none"/>
          <w:lang w:val="en-US" w:eastAsia="zh-CN" w:bidi="ar-SA"/>
        </w:rPr>
        <w:t>出入境和来华工作</w:t>
      </w:r>
      <w:r>
        <w:rPr>
          <w:rFonts w:hint="default" w:ascii="Times New Roman" w:hAnsi="Times New Roman" w:eastAsia="仿宋_GB2312" w:cs="Times New Roman"/>
          <w:b/>
          <w:bCs/>
          <w:strike w:val="0"/>
          <w:dstrike w:val="0"/>
          <w:color w:val="auto"/>
          <w:kern w:val="0"/>
          <w:sz w:val="32"/>
          <w:szCs w:val="32"/>
          <w:highlight w:val="none"/>
          <w:u w:val="none"/>
          <w:lang w:val="en-US" w:eastAsia="zh-CN" w:bidi="ar-SA"/>
        </w:rPr>
        <w:t>便利化水平</w:t>
      </w:r>
      <w:r>
        <w:rPr>
          <w:rFonts w:hint="default" w:ascii="Times New Roman" w:hAnsi="Times New Roman" w:eastAsia="仿宋_GB2312" w:cs="Times New Roman"/>
          <w:b/>
          <w:bCs/>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支持为赴区域内开展交流、访问、商贸等活动的外籍人才签证提供便利化服务。支持区域内重点企业引进的外籍科技人才</w:t>
      </w:r>
      <w:r>
        <w:rPr>
          <w:rFonts w:hint="default" w:ascii="Times New Roman" w:hAnsi="Times New Roman" w:eastAsia="仿宋_GB2312" w:cs="Times New Roman"/>
          <w:color w:val="auto"/>
          <w:kern w:val="0"/>
          <w:sz w:val="32"/>
          <w:szCs w:val="32"/>
          <w:highlight w:val="none"/>
          <w:u w:val="none"/>
          <w:lang w:bidi="ar"/>
        </w:rPr>
        <w:t>申请</w:t>
      </w:r>
      <w:r>
        <w:rPr>
          <w:rFonts w:hint="default" w:ascii="Times New Roman" w:hAnsi="Times New Roman" w:eastAsia="仿宋_GB2312" w:cs="Times New Roman"/>
          <w:color w:val="auto"/>
          <w:kern w:val="0"/>
          <w:sz w:val="32"/>
          <w:szCs w:val="32"/>
          <w:highlight w:val="none"/>
          <w:u w:val="none"/>
          <w:lang w:val="en-US" w:eastAsia="zh-CN" w:bidi="ar"/>
        </w:rPr>
        <w:t>最长</w:t>
      </w:r>
      <w:r>
        <w:rPr>
          <w:rFonts w:hint="default" w:ascii="Times New Roman" w:hAnsi="Times New Roman" w:eastAsia="仿宋_GB2312" w:cs="Times New Roman"/>
          <w:color w:val="auto"/>
          <w:kern w:val="0"/>
          <w:sz w:val="32"/>
          <w:szCs w:val="32"/>
          <w:highlight w:val="none"/>
          <w:u w:val="none"/>
          <w:lang w:bidi="ar"/>
        </w:rPr>
        <w:t>五年</w:t>
      </w:r>
      <w:r>
        <w:rPr>
          <w:rFonts w:hint="default" w:ascii="Times New Roman" w:hAnsi="Times New Roman" w:eastAsia="仿宋_GB2312" w:cs="Times New Roman"/>
          <w:color w:val="auto"/>
          <w:kern w:val="0"/>
          <w:sz w:val="32"/>
          <w:szCs w:val="32"/>
          <w:highlight w:val="none"/>
          <w:u w:val="none"/>
          <w:lang w:val="en-US" w:eastAsia="zh-CN" w:bidi="ar"/>
        </w:rPr>
        <w:t>的</w:t>
      </w:r>
      <w:r>
        <w:rPr>
          <w:rFonts w:hint="default" w:ascii="Times New Roman" w:hAnsi="Times New Roman" w:eastAsia="仿宋_GB2312" w:cs="Times New Roman"/>
          <w:color w:val="auto"/>
          <w:kern w:val="0"/>
          <w:sz w:val="32"/>
          <w:szCs w:val="32"/>
          <w:highlight w:val="none"/>
          <w:u w:val="none"/>
          <w:lang w:bidi="ar"/>
        </w:rPr>
        <w:t>工作类居留许可</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方正楷体_GB18030" w:cs="Times New Roman"/>
          <w:color w:val="auto"/>
          <w:kern w:val="0"/>
          <w:sz w:val="32"/>
          <w:szCs w:val="32"/>
          <w:highlight w:val="none"/>
          <w:u w:val="none"/>
          <w:lang w:val="en-US" w:eastAsia="zh-CN" w:bidi="ar"/>
        </w:rPr>
        <w:t>（责任单位：市公安局出入境管理局、市人才工作局）</w:t>
      </w:r>
    </w:p>
    <w:p w14:paraId="5EAB8478">
      <w:pPr>
        <w:keepNext w:val="0"/>
        <w:keepLines w:val="0"/>
        <w:pageBreakBefore w:val="0"/>
        <w:kinsoku/>
        <w:wordWrap/>
        <w:overflowPunct/>
        <w:topLinePunct w:val="0"/>
        <w:autoSpaceDE/>
        <w:autoSpaceDN/>
        <w:bidi w:val="0"/>
        <w:adjustRightInd/>
        <w:snapToGrid/>
        <w:spacing w:line="600" w:lineRule="exact"/>
        <w:ind w:firstLine="643" w:firstLineChars="200"/>
        <w:contextualSpacing/>
        <w:jc w:val="both"/>
        <w:textAlignment w:val="auto"/>
        <w:outlineLvl w:val="9"/>
        <w:rPr>
          <w:rFonts w:hint="default" w:ascii="Times New Roman" w:hAnsi="Times New Roman" w:eastAsia="仿宋_GB2312" w:cs="Times New Roman"/>
          <w:b w:val="0"/>
          <w:bCs w:val="0"/>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19</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b/>
          <w:bCs/>
          <w:kern w:val="0"/>
          <w:sz w:val="32"/>
          <w:szCs w:val="32"/>
          <w:highlight w:val="none"/>
          <w:u w:val="none"/>
          <w:shd w:val="clear" w:color="auto" w:fill="FFFFFF"/>
          <w:lang w:val="en-US" w:eastAsia="zh-CN" w:bidi="ar-SA"/>
        </w:rPr>
        <w:t>试点数据跨境流动</w:t>
      </w:r>
      <w:r>
        <w:rPr>
          <w:rFonts w:hint="default" w:ascii="Times New Roman" w:hAnsi="Times New Roman" w:eastAsia="仿宋_GB2312" w:cs="Times New Roman"/>
          <w:b/>
          <w:bCs/>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研究</w:t>
      </w:r>
      <w:r>
        <w:rPr>
          <w:rFonts w:hint="default" w:ascii="Times New Roman" w:hAnsi="Times New Roman" w:eastAsia="仿宋_GB2312" w:cs="Times New Roman"/>
          <w:color w:val="auto"/>
          <w:sz w:val="32"/>
          <w:szCs w:val="32"/>
          <w:highlight w:val="none"/>
          <w:u w:val="none"/>
          <w:lang w:val="en-US" w:eastAsia="zh-CN"/>
        </w:rPr>
        <w:t>制定人力资源服务领域数据跨境场景化指导文件。</w:t>
      </w:r>
      <w:r>
        <w:rPr>
          <w:rFonts w:hint="default" w:ascii="Times New Roman" w:hAnsi="Times New Roman" w:eastAsia="方正楷体_GB18030" w:cs="Times New Roman"/>
          <w:color w:val="auto"/>
          <w:kern w:val="0"/>
          <w:sz w:val="32"/>
          <w:szCs w:val="32"/>
          <w:highlight w:val="none"/>
          <w:u w:val="none"/>
          <w:lang w:val="en-US" w:eastAsia="zh-CN" w:bidi="ar"/>
        </w:rPr>
        <w:t>（责任单位：</w:t>
      </w:r>
      <w:r>
        <w:rPr>
          <w:rFonts w:hint="default" w:ascii="Times New Roman" w:hAnsi="Times New Roman" w:eastAsia="方正楷体_GB18030" w:cs="Times New Roman"/>
          <w:sz w:val="32"/>
          <w:szCs w:val="32"/>
          <w:highlight w:val="none"/>
          <w:u w:val="none"/>
        </w:rPr>
        <w:t>市人</w:t>
      </w:r>
      <w:r>
        <w:rPr>
          <w:rFonts w:hint="default" w:ascii="Times New Roman" w:hAnsi="Times New Roman" w:eastAsia="方正楷体_GB18030" w:cs="Times New Roman"/>
          <w:sz w:val="32"/>
          <w:szCs w:val="32"/>
          <w:highlight w:val="none"/>
          <w:u w:val="none"/>
          <w:lang w:eastAsia="zh-CN"/>
        </w:rPr>
        <w:t>力资源</w:t>
      </w:r>
      <w:r>
        <w:rPr>
          <w:rFonts w:hint="default" w:ascii="Times New Roman" w:hAnsi="Times New Roman" w:eastAsia="方正楷体_GB18030" w:cs="Times New Roman"/>
          <w:sz w:val="32"/>
          <w:szCs w:val="32"/>
          <w:highlight w:val="none"/>
          <w:u w:val="none"/>
        </w:rPr>
        <w:t>社</w:t>
      </w:r>
      <w:r>
        <w:rPr>
          <w:rFonts w:hint="default" w:ascii="Times New Roman" w:hAnsi="Times New Roman" w:eastAsia="方正楷体_GB18030" w:cs="Times New Roman"/>
          <w:sz w:val="32"/>
          <w:szCs w:val="32"/>
          <w:highlight w:val="none"/>
          <w:u w:val="none"/>
          <w:lang w:eastAsia="zh-CN"/>
        </w:rPr>
        <w:t>会保障</w:t>
      </w:r>
      <w:r>
        <w:rPr>
          <w:rFonts w:hint="default" w:ascii="Times New Roman" w:hAnsi="Times New Roman" w:eastAsia="方正楷体_GB18030" w:cs="Times New Roman"/>
          <w:sz w:val="32"/>
          <w:szCs w:val="32"/>
          <w:highlight w:val="none"/>
          <w:u w:val="none"/>
        </w:rPr>
        <w:t>局</w:t>
      </w:r>
      <w:r>
        <w:rPr>
          <w:rFonts w:hint="default" w:ascii="Times New Roman" w:hAnsi="Times New Roman" w:eastAsia="方正楷体_GB18030" w:cs="Times New Roman"/>
          <w:color w:val="auto"/>
          <w:kern w:val="0"/>
          <w:sz w:val="32"/>
          <w:szCs w:val="32"/>
          <w:highlight w:val="none"/>
          <w:u w:val="none"/>
          <w:lang w:val="en-US" w:eastAsia="zh-CN" w:bidi="ar"/>
        </w:rPr>
        <w:t>、市委网信办、市数据局）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18030">
    <w:altName w:val="楷体_GB2312"/>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4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AEEA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AEEA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D517D8"/>
    <w:multiLevelType w:val="singleLevel"/>
    <w:tmpl w:val="73D517D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lYjQwMGI5MzYxZWViNWZjOGQyMWQ2NWIyZjllMWIifQ=="/>
  </w:docVars>
  <w:rsids>
    <w:rsidRoot w:val="00D92E8B"/>
    <w:rsid w:val="000649C2"/>
    <w:rsid w:val="001A2A33"/>
    <w:rsid w:val="001A5633"/>
    <w:rsid w:val="002445C0"/>
    <w:rsid w:val="002652E3"/>
    <w:rsid w:val="00290610"/>
    <w:rsid w:val="00347D5A"/>
    <w:rsid w:val="0046757B"/>
    <w:rsid w:val="00491870"/>
    <w:rsid w:val="004D7307"/>
    <w:rsid w:val="00520FA0"/>
    <w:rsid w:val="00730CFB"/>
    <w:rsid w:val="00765743"/>
    <w:rsid w:val="008E7CA0"/>
    <w:rsid w:val="0090433D"/>
    <w:rsid w:val="0098283A"/>
    <w:rsid w:val="009B6F4D"/>
    <w:rsid w:val="00A3259F"/>
    <w:rsid w:val="00C032CA"/>
    <w:rsid w:val="00C26BA2"/>
    <w:rsid w:val="00C440D9"/>
    <w:rsid w:val="00D92E8B"/>
    <w:rsid w:val="00E04012"/>
    <w:rsid w:val="00E5769F"/>
    <w:rsid w:val="00E8227B"/>
    <w:rsid w:val="00E9531C"/>
    <w:rsid w:val="00FE49D9"/>
    <w:rsid w:val="09837CAA"/>
    <w:rsid w:val="09BBDA8D"/>
    <w:rsid w:val="0D5D2312"/>
    <w:rsid w:val="0F3F15EA"/>
    <w:rsid w:val="178FA64D"/>
    <w:rsid w:val="197B5754"/>
    <w:rsid w:val="1BD6DC43"/>
    <w:rsid w:val="1C78020C"/>
    <w:rsid w:val="1ECD10A3"/>
    <w:rsid w:val="1EDCC698"/>
    <w:rsid w:val="1F7648CB"/>
    <w:rsid w:val="1FFDD2A3"/>
    <w:rsid w:val="227B7BE7"/>
    <w:rsid w:val="23F30FBF"/>
    <w:rsid w:val="25E7261B"/>
    <w:rsid w:val="274EA172"/>
    <w:rsid w:val="27FF196C"/>
    <w:rsid w:val="2B77FC65"/>
    <w:rsid w:val="2BD46DDB"/>
    <w:rsid w:val="2BF5E8FD"/>
    <w:rsid w:val="2BF737B8"/>
    <w:rsid w:val="2CFF8A33"/>
    <w:rsid w:val="2D3BB58D"/>
    <w:rsid w:val="2D5573ED"/>
    <w:rsid w:val="2DF5106E"/>
    <w:rsid w:val="2DF7129D"/>
    <w:rsid w:val="2DFB338A"/>
    <w:rsid w:val="2DFF9D8C"/>
    <w:rsid w:val="2E6C9C78"/>
    <w:rsid w:val="2E7F6635"/>
    <w:rsid w:val="2EEF2627"/>
    <w:rsid w:val="2EFE790D"/>
    <w:rsid w:val="2F27E8F5"/>
    <w:rsid w:val="2F56A545"/>
    <w:rsid w:val="2FEF5A8A"/>
    <w:rsid w:val="31FFDBD0"/>
    <w:rsid w:val="32DF8D88"/>
    <w:rsid w:val="337AF1EF"/>
    <w:rsid w:val="34EE5F47"/>
    <w:rsid w:val="35FEAFB8"/>
    <w:rsid w:val="363962F2"/>
    <w:rsid w:val="36FB77AD"/>
    <w:rsid w:val="37576857"/>
    <w:rsid w:val="37679C47"/>
    <w:rsid w:val="377F6801"/>
    <w:rsid w:val="37C5FF68"/>
    <w:rsid w:val="37DEC58F"/>
    <w:rsid w:val="37F64A71"/>
    <w:rsid w:val="3A5C7F02"/>
    <w:rsid w:val="3AD6F8B2"/>
    <w:rsid w:val="3AFFC009"/>
    <w:rsid w:val="3B3314BE"/>
    <w:rsid w:val="3C7D93EF"/>
    <w:rsid w:val="3C7F5ADD"/>
    <w:rsid w:val="3CEE73CC"/>
    <w:rsid w:val="3DA962B7"/>
    <w:rsid w:val="3DBE78E6"/>
    <w:rsid w:val="3DD3DA97"/>
    <w:rsid w:val="3DFA280E"/>
    <w:rsid w:val="3DFE8F32"/>
    <w:rsid w:val="3DFF5B54"/>
    <w:rsid w:val="3DFF72C5"/>
    <w:rsid w:val="3E3FA32C"/>
    <w:rsid w:val="3EBF6FF1"/>
    <w:rsid w:val="3ECFA009"/>
    <w:rsid w:val="3ECFB0EE"/>
    <w:rsid w:val="3EFB86D1"/>
    <w:rsid w:val="3EFD2ED1"/>
    <w:rsid w:val="3EFEE61D"/>
    <w:rsid w:val="3F579CA1"/>
    <w:rsid w:val="3F57ACA7"/>
    <w:rsid w:val="3F9ADFF6"/>
    <w:rsid w:val="3FB5B5E7"/>
    <w:rsid w:val="3FEF5DBA"/>
    <w:rsid w:val="3FF59049"/>
    <w:rsid w:val="3FF7AD99"/>
    <w:rsid w:val="3FFB751A"/>
    <w:rsid w:val="3FFD1677"/>
    <w:rsid w:val="447DF922"/>
    <w:rsid w:val="45F71A49"/>
    <w:rsid w:val="465D5285"/>
    <w:rsid w:val="46EB1C21"/>
    <w:rsid w:val="47F652EB"/>
    <w:rsid w:val="47FF4031"/>
    <w:rsid w:val="4B2F2B6F"/>
    <w:rsid w:val="4BB8B46F"/>
    <w:rsid w:val="4CB3DAD4"/>
    <w:rsid w:val="4DFFBACF"/>
    <w:rsid w:val="4EFFF97A"/>
    <w:rsid w:val="539D5C67"/>
    <w:rsid w:val="53EA8DCF"/>
    <w:rsid w:val="556B89D4"/>
    <w:rsid w:val="55AAE63F"/>
    <w:rsid w:val="55BFC0C3"/>
    <w:rsid w:val="55EE2C8A"/>
    <w:rsid w:val="571D4A5D"/>
    <w:rsid w:val="576C53E4"/>
    <w:rsid w:val="57E75623"/>
    <w:rsid w:val="585F2022"/>
    <w:rsid w:val="58C81F42"/>
    <w:rsid w:val="597FF73F"/>
    <w:rsid w:val="59B98D61"/>
    <w:rsid w:val="59C9307B"/>
    <w:rsid w:val="5A6951E1"/>
    <w:rsid w:val="5B579090"/>
    <w:rsid w:val="5BA51460"/>
    <w:rsid w:val="5BDDAC0F"/>
    <w:rsid w:val="5BF732D0"/>
    <w:rsid w:val="5BFE259B"/>
    <w:rsid w:val="5BFF52C1"/>
    <w:rsid w:val="5BFF8570"/>
    <w:rsid w:val="5C7334FE"/>
    <w:rsid w:val="5CE7C3D4"/>
    <w:rsid w:val="5CFD4692"/>
    <w:rsid w:val="5D6F2A97"/>
    <w:rsid w:val="5DEF11B9"/>
    <w:rsid w:val="5DFB74F2"/>
    <w:rsid w:val="5E66243C"/>
    <w:rsid w:val="5E7F8205"/>
    <w:rsid w:val="5EE3277B"/>
    <w:rsid w:val="5EFF15FD"/>
    <w:rsid w:val="5F27F8EB"/>
    <w:rsid w:val="5F36250B"/>
    <w:rsid w:val="5F4BC6E5"/>
    <w:rsid w:val="5F59F4C8"/>
    <w:rsid w:val="5F5ECDB7"/>
    <w:rsid w:val="5F6F0556"/>
    <w:rsid w:val="5F776B37"/>
    <w:rsid w:val="5FBD04E3"/>
    <w:rsid w:val="5FBF2535"/>
    <w:rsid w:val="5FDF62C7"/>
    <w:rsid w:val="5FDF71D0"/>
    <w:rsid w:val="5FE635B6"/>
    <w:rsid w:val="5FF30ED6"/>
    <w:rsid w:val="5FF71EF5"/>
    <w:rsid w:val="5FFB55E8"/>
    <w:rsid w:val="5FFF9F81"/>
    <w:rsid w:val="5FFFC740"/>
    <w:rsid w:val="5FFFFF13"/>
    <w:rsid w:val="627AB5F8"/>
    <w:rsid w:val="637E7A9F"/>
    <w:rsid w:val="63EFFA08"/>
    <w:rsid w:val="63FF7FAC"/>
    <w:rsid w:val="666774D1"/>
    <w:rsid w:val="669FE941"/>
    <w:rsid w:val="677E8850"/>
    <w:rsid w:val="67CFA52A"/>
    <w:rsid w:val="67E34E02"/>
    <w:rsid w:val="67F7F04A"/>
    <w:rsid w:val="67FF51A0"/>
    <w:rsid w:val="67FF991A"/>
    <w:rsid w:val="6877028A"/>
    <w:rsid w:val="68FD41F9"/>
    <w:rsid w:val="69492723"/>
    <w:rsid w:val="69CCF20F"/>
    <w:rsid w:val="69DD2DA0"/>
    <w:rsid w:val="6A9F9045"/>
    <w:rsid w:val="6B16E408"/>
    <w:rsid w:val="6B2FEE4F"/>
    <w:rsid w:val="6B3BB273"/>
    <w:rsid w:val="6BBDCFCA"/>
    <w:rsid w:val="6BCF71ED"/>
    <w:rsid w:val="6BDB48E3"/>
    <w:rsid w:val="6BF7E3C6"/>
    <w:rsid w:val="6BFF85EB"/>
    <w:rsid w:val="6CDFD5E2"/>
    <w:rsid w:val="6CFDF870"/>
    <w:rsid w:val="6D5C0DE7"/>
    <w:rsid w:val="6DE7A556"/>
    <w:rsid w:val="6DEB63C2"/>
    <w:rsid w:val="6DFDD99E"/>
    <w:rsid w:val="6E4F9796"/>
    <w:rsid w:val="6E6FD2F3"/>
    <w:rsid w:val="6E9F5ED3"/>
    <w:rsid w:val="6EDF5741"/>
    <w:rsid w:val="6EF5CD05"/>
    <w:rsid w:val="6EFA768F"/>
    <w:rsid w:val="6EFD8036"/>
    <w:rsid w:val="6F2F905E"/>
    <w:rsid w:val="6F3F99D4"/>
    <w:rsid w:val="6F6FDD75"/>
    <w:rsid w:val="6F7F600D"/>
    <w:rsid w:val="6FAFE84C"/>
    <w:rsid w:val="6FB94BD2"/>
    <w:rsid w:val="6FBB6BBB"/>
    <w:rsid w:val="6FDA52A2"/>
    <w:rsid w:val="6FEBB6F2"/>
    <w:rsid w:val="6FF337DF"/>
    <w:rsid w:val="6FF59707"/>
    <w:rsid w:val="6FF645FC"/>
    <w:rsid w:val="6FF7FCB6"/>
    <w:rsid w:val="6FFD362E"/>
    <w:rsid w:val="6FFF1583"/>
    <w:rsid w:val="71AE125B"/>
    <w:rsid w:val="723F4B4B"/>
    <w:rsid w:val="72FF8BFA"/>
    <w:rsid w:val="734B2560"/>
    <w:rsid w:val="73538302"/>
    <w:rsid w:val="737F5752"/>
    <w:rsid w:val="73BE071E"/>
    <w:rsid w:val="73C729E6"/>
    <w:rsid w:val="73F6D58F"/>
    <w:rsid w:val="73FF44B9"/>
    <w:rsid w:val="73FFF955"/>
    <w:rsid w:val="75075B74"/>
    <w:rsid w:val="756FB59F"/>
    <w:rsid w:val="75BD8027"/>
    <w:rsid w:val="75F3B83C"/>
    <w:rsid w:val="75FDA63B"/>
    <w:rsid w:val="766F3DD8"/>
    <w:rsid w:val="76A5005C"/>
    <w:rsid w:val="76CFF26B"/>
    <w:rsid w:val="76E7A07B"/>
    <w:rsid w:val="76FAC7E4"/>
    <w:rsid w:val="775A9AF7"/>
    <w:rsid w:val="777FFE26"/>
    <w:rsid w:val="77B74394"/>
    <w:rsid w:val="77D7E87F"/>
    <w:rsid w:val="77E57736"/>
    <w:rsid w:val="77F37909"/>
    <w:rsid w:val="77F68179"/>
    <w:rsid w:val="77F7E396"/>
    <w:rsid w:val="77FBFF2D"/>
    <w:rsid w:val="77FE2368"/>
    <w:rsid w:val="781F9259"/>
    <w:rsid w:val="78E72D7B"/>
    <w:rsid w:val="793E0D0A"/>
    <w:rsid w:val="796BF4B2"/>
    <w:rsid w:val="797F6A82"/>
    <w:rsid w:val="79FF7340"/>
    <w:rsid w:val="7A4FD679"/>
    <w:rsid w:val="7A9E0781"/>
    <w:rsid w:val="7A9FD41B"/>
    <w:rsid w:val="7AA209FF"/>
    <w:rsid w:val="7AAAD360"/>
    <w:rsid w:val="7AD44BD0"/>
    <w:rsid w:val="7AEFDC5B"/>
    <w:rsid w:val="7AFF51F1"/>
    <w:rsid w:val="7B2FA937"/>
    <w:rsid w:val="7B68CABC"/>
    <w:rsid w:val="7B7D001C"/>
    <w:rsid w:val="7B9FAD64"/>
    <w:rsid w:val="7BBD5FF3"/>
    <w:rsid w:val="7BBDC340"/>
    <w:rsid w:val="7BBF067D"/>
    <w:rsid w:val="7BBF5781"/>
    <w:rsid w:val="7BBFE39A"/>
    <w:rsid w:val="7BC39C66"/>
    <w:rsid w:val="7BD4ED73"/>
    <w:rsid w:val="7BD55900"/>
    <w:rsid w:val="7BDC862B"/>
    <w:rsid w:val="7BDF6E7C"/>
    <w:rsid w:val="7BEF8FB0"/>
    <w:rsid w:val="7BF44501"/>
    <w:rsid w:val="7BF75D2F"/>
    <w:rsid w:val="7BF99B2A"/>
    <w:rsid w:val="7BF9CA76"/>
    <w:rsid w:val="7BFB13E7"/>
    <w:rsid w:val="7BFB5DB8"/>
    <w:rsid w:val="7BFD5F07"/>
    <w:rsid w:val="7BFEFB4E"/>
    <w:rsid w:val="7BFF06E3"/>
    <w:rsid w:val="7BFF4294"/>
    <w:rsid w:val="7BFF699C"/>
    <w:rsid w:val="7C8E049A"/>
    <w:rsid w:val="7CED0380"/>
    <w:rsid w:val="7CEF734F"/>
    <w:rsid w:val="7CF66288"/>
    <w:rsid w:val="7D1EE8CA"/>
    <w:rsid w:val="7D7DC724"/>
    <w:rsid w:val="7DAE7800"/>
    <w:rsid w:val="7DB78C29"/>
    <w:rsid w:val="7DBF9BDF"/>
    <w:rsid w:val="7DD380E1"/>
    <w:rsid w:val="7DFAEBC5"/>
    <w:rsid w:val="7DFB36D6"/>
    <w:rsid w:val="7DFDBD5F"/>
    <w:rsid w:val="7DFF88A5"/>
    <w:rsid w:val="7E7BA349"/>
    <w:rsid w:val="7EBBD3C5"/>
    <w:rsid w:val="7EBEF731"/>
    <w:rsid w:val="7EC7B83B"/>
    <w:rsid w:val="7ECD4E7B"/>
    <w:rsid w:val="7EFC6952"/>
    <w:rsid w:val="7EFF1767"/>
    <w:rsid w:val="7EFFFF05"/>
    <w:rsid w:val="7F3B62F3"/>
    <w:rsid w:val="7F3F3EEA"/>
    <w:rsid w:val="7F5F2BA0"/>
    <w:rsid w:val="7F6FAC1A"/>
    <w:rsid w:val="7F738FA1"/>
    <w:rsid w:val="7F7536DC"/>
    <w:rsid w:val="7F77828B"/>
    <w:rsid w:val="7F7B38BC"/>
    <w:rsid w:val="7F7F6BE2"/>
    <w:rsid w:val="7F7F8D4E"/>
    <w:rsid w:val="7F7FB0DC"/>
    <w:rsid w:val="7F7FF56A"/>
    <w:rsid w:val="7F861585"/>
    <w:rsid w:val="7FA546B3"/>
    <w:rsid w:val="7FAF6B9B"/>
    <w:rsid w:val="7FB60F0E"/>
    <w:rsid w:val="7FB97135"/>
    <w:rsid w:val="7FBEED3C"/>
    <w:rsid w:val="7FBF809D"/>
    <w:rsid w:val="7FCCD4D4"/>
    <w:rsid w:val="7FD3965D"/>
    <w:rsid w:val="7FDBC0C1"/>
    <w:rsid w:val="7FDBC0E8"/>
    <w:rsid w:val="7FDBCC1C"/>
    <w:rsid w:val="7FDDC67F"/>
    <w:rsid w:val="7FDF1E06"/>
    <w:rsid w:val="7FE00F88"/>
    <w:rsid w:val="7FEC5938"/>
    <w:rsid w:val="7FEF6BBE"/>
    <w:rsid w:val="7FEF955A"/>
    <w:rsid w:val="7FEF9605"/>
    <w:rsid w:val="7FEFFADE"/>
    <w:rsid w:val="7FF7C0B7"/>
    <w:rsid w:val="7FFCEE98"/>
    <w:rsid w:val="7FFD5A7E"/>
    <w:rsid w:val="7FFE4F1D"/>
    <w:rsid w:val="7FFE905E"/>
    <w:rsid w:val="7FFF5239"/>
    <w:rsid w:val="7FFF5A0A"/>
    <w:rsid w:val="7FFFDB60"/>
    <w:rsid w:val="8FAF213E"/>
    <w:rsid w:val="95F76EE7"/>
    <w:rsid w:val="97FC7D58"/>
    <w:rsid w:val="9BFE9544"/>
    <w:rsid w:val="9C86CB2A"/>
    <w:rsid w:val="9CBB0104"/>
    <w:rsid w:val="9CFFF9F6"/>
    <w:rsid w:val="9D2E500D"/>
    <w:rsid w:val="9E9EC5F8"/>
    <w:rsid w:val="9EBF3F67"/>
    <w:rsid w:val="9F2EE3BB"/>
    <w:rsid w:val="9F3B1458"/>
    <w:rsid w:val="9F67FCAE"/>
    <w:rsid w:val="9F77369A"/>
    <w:rsid w:val="9FBB2266"/>
    <w:rsid w:val="9FBF62FB"/>
    <w:rsid w:val="9FBFBAC7"/>
    <w:rsid w:val="9FF71D56"/>
    <w:rsid w:val="9FFE3633"/>
    <w:rsid w:val="9FFE9AC6"/>
    <w:rsid w:val="9FFFDBF4"/>
    <w:rsid w:val="A3DE60B1"/>
    <w:rsid w:val="A5CB2CC3"/>
    <w:rsid w:val="A6F7D3C2"/>
    <w:rsid w:val="A7AF3B86"/>
    <w:rsid w:val="A7BE599E"/>
    <w:rsid w:val="A9FF5F1F"/>
    <w:rsid w:val="AD266993"/>
    <w:rsid w:val="ADFB5397"/>
    <w:rsid w:val="AE8C063C"/>
    <w:rsid w:val="AEE6008C"/>
    <w:rsid w:val="AFBF2774"/>
    <w:rsid w:val="B3DFD576"/>
    <w:rsid w:val="B3FD7486"/>
    <w:rsid w:val="B4FF577E"/>
    <w:rsid w:val="B5CEB7B1"/>
    <w:rsid w:val="B72C4184"/>
    <w:rsid w:val="B73FF55E"/>
    <w:rsid w:val="B77ED117"/>
    <w:rsid w:val="B79FC095"/>
    <w:rsid w:val="B7B74340"/>
    <w:rsid w:val="B7EFAB41"/>
    <w:rsid w:val="B7FDD04D"/>
    <w:rsid w:val="B8C36DBE"/>
    <w:rsid w:val="B9FF354A"/>
    <w:rsid w:val="BAB7B39A"/>
    <w:rsid w:val="BBFF8D46"/>
    <w:rsid w:val="BDFFA07D"/>
    <w:rsid w:val="BDFFCC5D"/>
    <w:rsid w:val="BE55F3DC"/>
    <w:rsid w:val="BE7F814F"/>
    <w:rsid w:val="BEBAD78D"/>
    <w:rsid w:val="BEF7CCF8"/>
    <w:rsid w:val="BF163E46"/>
    <w:rsid w:val="BF3F07EA"/>
    <w:rsid w:val="BF6370CD"/>
    <w:rsid w:val="BF67A124"/>
    <w:rsid w:val="BF7BC8D0"/>
    <w:rsid w:val="BF7DA331"/>
    <w:rsid w:val="BF7E22E1"/>
    <w:rsid w:val="BF7F74E8"/>
    <w:rsid w:val="BF7F81E2"/>
    <w:rsid w:val="BFB7682B"/>
    <w:rsid w:val="BFBFE11E"/>
    <w:rsid w:val="BFDFF473"/>
    <w:rsid w:val="BFE72249"/>
    <w:rsid w:val="BFEA5B96"/>
    <w:rsid w:val="BFF73E30"/>
    <w:rsid w:val="BFFB30F3"/>
    <w:rsid w:val="BFFE1528"/>
    <w:rsid w:val="BFFF3D4E"/>
    <w:rsid w:val="C12FDABF"/>
    <w:rsid w:val="C5DC0635"/>
    <w:rsid w:val="C5FE05FE"/>
    <w:rsid w:val="C6BDF002"/>
    <w:rsid w:val="C7D799C8"/>
    <w:rsid w:val="C7EE59C2"/>
    <w:rsid w:val="C7EF48A1"/>
    <w:rsid w:val="C7FFDEF7"/>
    <w:rsid w:val="C8EEB1E2"/>
    <w:rsid w:val="CACA6082"/>
    <w:rsid w:val="CAEEA170"/>
    <w:rsid w:val="CB69A634"/>
    <w:rsid w:val="CBFF5165"/>
    <w:rsid w:val="CCCFC48F"/>
    <w:rsid w:val="CCF2236A"/>
    <w:rsid w:val="CDA7577F"/>
    <w:rsid w:val="CDE7CE46"/>
    <w:rsid w:val="CEFD3D0B"/>
    <w:rsid w:val="CFA75123"/>
    <w:rsid w:val="D3FE1595"/>
    <w:rsid w:val="D3FF81A7"/>
    <w:rsid w:val="D6FF436C"/>
    <w:rsid w:val="D6FFF3DB"/>
    <w:rsid w:val="D74E7A76"/>
    <w:rsid w:val="D7BB3711"/>
    <w:rsid w:val="D7DA7AE9"/>
    <w:rsid w:val="D7EF657E"/>
    <w:rsid w:val="D7FF8A6C"/>
    <w:rsid w:val="D9751610"/>
    <w:rsid w:val="D9BD9FD8"/>
    <w:rsid w:val="D9E7CC14"/>
    <w:rsid w:val="D9F72F4A"/>
    <w:rsid w:val="DB73B872"/>
    <w:rsid w:val="DBC749E4"/>
    <w:rsid w:val="DBCF4516"/>
    <w:rsid w:val="DBD726B5"/>
    <w:rsid w:val="DBFAE38C"/>
    <w:rsid w:val="DCBF5D99"/>
    <w:rsid w:val="DDDF70FF"/>
    <w:rsid w:val="DDEF0B18"/>
    <w:rsid w:val="DDEF61A1"/>
    <w:rsid w:val="DDFFF335"/>
    <w:rsid w:val="DED13EDD"/>
    <w:rsid w:val="DEFF6C92"/>
    <w:rsid w:val="DF38E60C"/>
    <w:rsid w:val="DF3BCF11"/>
    <w:rsid w:val="DF7B7721"/>
    <w:rsid w:val="DF7BF1F4"/>
    <w:rsid w:val="DF7DA0AF"/>
    <w:rsid w:val="DF7DD558"/>
    <w:rsid w:val="DFAF6586"/>
    <w:rsid w:val="DFAF77B1"/>
    <w:rsid w:val="DFBE76FA"/>
    <w:rsid w:val="DFBEBB85"/>
    <w:rsid w:val="DFCCC454"/>
    <w:rsid w:val="DFFB1F57"/>
    <w:rsid w:val="DFFB2388"/>
    <w:rsid w:val="DFFB4B4B"/>
    <w:rsid w:val="DFFBBDF9"/>
    <w:rsid w:val="DFFD098F"/>
    <w:rsid w:val="DFFF4D65"/>
    <w:rsid w:val="E3BD18AD"/>
    <w:rsid w:val="E3FAE143"/>
    <w:rsid w:val="E5F3766C"/>
    <w:rsid w:val="E5FF1B02"/>
    <w:rsid w:val="E6BB5820"/>
    <w:rsid w:val="E77FEEA0"/>
    <w:rsid w:val="E78FDB95"/>
    <w:rsid w:val="E7B72378"/>
    <w:rsid w:val="E7BD7083"/>
    <w:rsid w:val="E7CFD31C"/>
    <w:rsid w:val="E7ED51C7"/>
    <w:rsid w:val="E97DC54E"/>
    <w:rsid w:val="E99D3FCB"/>
    <w:rsid w:val="EB7F15E8"/>
    <w:rsid w:val="EB894E44"/>
    <w:rsid w:val="EBFBDB6B"/>
    <w:rsid w:val="ECF1F01E"/>
    <w:rsid w:val="ECF7ECBD"/>
    <w:rsid w:val="ED8D79D7"/>
    <w:rsid w:val="EDEED003"/>
    <w:rsid w:val="EDF9446D"/>
    <w:rsid w:val="EDFF1D18"/>
    <w:rsid w:val="EE6EA325"/>
    <w:rsid w:val="EE7D828A"/>
    <w:rsid w:val="EEF90FEA"/>
    <w:rsid w:val="EF3FCC9C"/>
    <w:rsid w:val="EF6F588D"/>
    <w:rsid w:val="EF7F2ADF"/>
    <w:rsid w:val="EF7F86F0"/>
    <w:rsid w:val="EFAE9A6A"/>
    <w:rsid w:val="EFC86F88"/>
    <w:rsid w:val="EFCF300C"/>
    <w:rsid w:val="EFDF75B9"/>
    <w:rsid w:val="EFEE3DB6"/>
    <w:rsid w:val="EFF2B3C3"/>
    <w:rsid w:val="EFFB3F27"/>
    <w:rsid w:val="EFFF8ADF"/>
    <w:rsid w:val="EFFFEBC5"/>
    <w:rsid w:val="F2BF8787"/>
    <w:rsid w:val="F2FF5F11"/>
    <w:rsid w:val="F3417625"/>
    <w:rsid w:val="F363A546"/>
    <w:rsid w:val="F3BFA88F"/>
    <w:rsid w:val="F41B66BF"/>
    <w:rsid w:val="F46A2BE0"/>
    <w:rsid w:val="F47D8073"/>
    <w:rsid w:val="F49C571D"/>
    <w:rsid w:val="F5581E51"/>
    <w:rsid w:val="F5EEAB17"/>
    <w:rsid w:val="F6DC11A9"/>
    <w:rsid w:val="F6EB86E7"/>
    <w:rsid w:val="F6F6042F"/>
    <w:rsid w:val="F75E81C2"/>
    <w:rsid w:val="F76633BF"/>
    <w:rsid w:val="F7971359"/>
    <w:rsid w:val="F79B30D1"/>
    <w:rsid w:val="F7BB2094"/>
    <w:rsid w:val="F7BE4215"/>
    <w:rsid w:val="F7CF7F7A"/>
    <w:rsid w:val="F7D9408B"/>
    <w:rsid w:val="F7DF174B"/>
    <w:rsid w:val="F7DF981F"/>
    <w:rsid w:val="F7E7AECB"/>
    <w:rsid w:val="F7EF08B6"/>
    <w:rsid w:val="F7F52D5A"/>
    <w:rsid w:val="F7FD2322"/>
    <w:rsid w:val="F7FDFA0A"/>
    <w:rsid w:val="F7FF0AEE"/>
    <w:rsid w:val="F7FF5A1F"/>
    <w:rsid w:val="F7FF6A31"/>
    <w:rsid w:val="F7FF6AD4"/>
    <w:rsid w:val="F87FEE81"/>
    <w:rsid w:val="F9B66DAF"/>
    <w:rsid w:val="F9DDFFA2"/>
    <w:rsid w:val="F9ED7B92"/>
    <w:rsid w:val="F9F706EC"/>
    <w:rsid w:val="F9F7EC13"/>
    <w:rsid w:val="FAAF8102"/>
    <w:rsid w:val="FADFEE9D"/>
    <w:rsid w:val="FAEFD0CE"/>
    <w:rsid w:val="FAFE2A5A"/>
    <w:rsid w:val="FB1DB9F8"/>
    <w:rsid w:val="FB7E6DA8"/>
    <w:rsid w:val="FBA7247D"/>
    <w:rsid w:val="FBD5E8E6"/>
    <w:rsid w:val="FBDA6ECF"/>
    <w:rsid w:val="FBDB64F5"/>
    <w:rsid w:val="FBE3D718"/>
    <w:rsid w:val="FBEF7CAA"/>
    <w:rsid w:val="FBF468FD"/>
    <w:rsid w:val="FBF7BBBD"/>
    <w:rsid w:val="FBFB3D9D"/>
    <w:rsid w:val="FBFD03C7"/>
    <w:rsid w:val="FBFE8C96"/>
    <w:rsid w:val="FBFEAF50"/>
    <w:rsid w:val="FCBF7B06"/>
    <w:rsid w:val="FCEFC45B"/>
    <w:rsid w:val="FD6BFF43"/>
    <w:rsid w:val="FD74B629"/>
    <w:rsid w:val="FD7B5CAB"/>
    <w:rsid w:val="FD7E550C"/>
    <w:rsid w:val="FD7F2E4C"/>
    <w:rsid w:val="FDBCE313"/>
    <w:rsid w:val="FDBFBCA3"/>
    <w:rsid w:val="FDCB336D"/>
    <w:rsid w:val="FDED6B96"/>
    <w:rsid w:val="FDEF12E0"/>
    <w:rsid w:val="FDFC5D17"/>
    <w:rsid w:val="FDFEDFA4"/>
    <w:rsid w:val="FDFFCF68"/>
    <w:rsid w:val="FE6E7E24"/>
    <w:rsid w:val="FE7F428D"/>
    <w:rsid w:val="FE7FE46A"/>
    <w:rsid w:val="FEA799BF"/>
    <w:rsid w:val="FEB5572F"/>
    <w:rsid w:val="FEBB36E7"/>
    <w:rsid w:val="FED778BA"/>
    <w:rsid w:val="FEDDDC08"/>
    <w:rsid w:val="FEDF1779"/>
    <w:rsid w:val="FEEF385A"/>
    <w:rsid w:val="FEEF721E"/>
    <w:rsid w:val="FEEF88BD"/>
    <w:rsid w:val="FEF1FC4F"/>
    <w:rsid w:val="FEF1FFCA"/>
    <w:rsid w:val="FEF33081"/>
    <w:rsid w:val="FEF70C69"/>
    <w:rsid w:val="FEFB9195"/>
    <w:rsid w:val="FEFC7086"/>
    <w:rsid w:val="FEFC8C26"/>
    <w:rsid w:val="FEFD4BA7"/>
    <w:rsid w:val="FEFE9B35"/>
    <w:rsid w:val="FEFF8ED1"/>
    <w:rsid w:val="FF2F2950"/>
    <w:rsid w:val="FF3B617E"/>
    <w:rsid w:val="FF3F4350"/>
    <w:rsid w:val="FF4E6AC7"/>
    <w:rsid w:val="FF553E9C"/>
    <w:rsid w:val="FF5F8600"/>
    <w:rsid w:val="FF68272A"/>
    <w:rsid w:val="FF72BEBF"/>
    <w:rsid w:val="FF7530F5"/>
    <w:rsid w:val="FF7BC694"/>
    <w:rsid w:val="FF957BEE"/>
    <w:rsid w:val="FF9B571A"/>
    <w:rsid w:val="FF9DA0C8"/>
    <w:rsid w:val="FF9E342F"/>
    <w:rsid w:val="FF9EA22E"/>
    <w:rsid w:val="FFABDE63"/>
    <w:rsid w:val="FFAEE8CE"/>
    <w:rsid w:val="FFAF3A33"/>
    <w:rsid w:val="FFB5BDFF"/>
    <w:rsid w:val="FFC1C550"/>
    <w:rsid w:val="FFCB8746"/>
    <w:rsid w:val="FFCFBB4B"/>
    <w:rsid w:val="FFD4D3CD"/>
    <w:rsid w:val="FFD65DB0"/>
    <w:rsid w:val="FFD7997F"/>
    <w:rsid w:val="FFD7C368"/>
    <w:rsid w:val="FFD9F357"/>
    <w:rsid w:val="FFDF385B"/>
    <w:rsid w:val="FFE55A4E"/>
    <w:rsid w:val="FFE6A4A9"/>
    <w:rsid w:val="FFE988AB"/>
    <w:rsid w:val="FFEB77A4"/>
    <w:rsid w:val="FFEE127A"/>
    <w:rsid w:val="FFEE732D"/>
    <w:rsid w:val="FFF3CE43"/>
    <w:rsid w:val="FFF95ED9"/>
    <w:rsid w:val="FFFCF0D4"/>
    <w:rsid w:val="FFFD6E50"/>
    <w:rsid w:val="FFFD77F9"/>
    <w:rsid w:val="FFFD9929"/>
    <w:rsid w:val="FFFF5799"/>
    <w:rsid w:val="FFFF774A"/>
    <w:rsid w:val="FFFFC955"/>
    <w:rsid w:val="FFFFCEFE"/>
    <w:rsid w:val="FFFFF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w:basedOn w:val="1"/>
    <w:link w:val="9"/>
    <w:qFormat/>
    <w:uiPriority w:val="0"/>
    <w:pPr>
      <w:spacing w:after="120"/>
    </w:pPr>
  </w:style>
  <w:style w:type="paragraph" w:styleId="4">
    <w:name w:val="Body Text Indent"/>
    <w:basedOn w:val="1"/>
    <w:semiHidden/>
    <w:qFormat/>
    <w:uiPriority w:val="99"/>
    <w:pPr>
      <w:spacing w:after="120"/>
      <w:ind w:left="420" w:leftChars="2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character" w:customStyle="1" w:styleId="9">
    <w:name w:val="正文文本 字符"/>
    <w:basedOn w:val="8"/>
    <w:link w:val="3"/>
    <w:qFormat/>
    <w:uiPriority w:val="0"/>
    <w:rPr>
      <w:rFonts w:ascii="Calibri" w:hAnsi="Calibri" w:eastAsia="宋体" w:cs="Times New Roman"/>
      <w:szCs w:val="24"/>
    </w:rPr>
  </w:style>
  <w:style w:type="character" w:customStyle="1" w:styleId="10">
    <w:name w:val="页眉 字符"/>
    <w:basedOn w:val="8"/>
    <w:link w:val="6"/>
    <w:qFormat/>
    <w:uiPriority w:val="99"/>
    <w:rPr>
      <w:rFonts w:ascii="Calibri" w:hAnsi="Calibri" w:eastAsia="宋体" w:cs="Times New Roman"/>
      <w:sz w:val="18"/>
      <w:szCs w:val="18"/>
    </w:rPr>
  </w:style>
  <w:style w:type="character" w:customStyle="1" w:styleId="11">
    <w:name w:val="页脚 字符"/>
    <w:basedOn w:val="8"/>
    <w:link w:val="5"/>
    <w:qFormat/>
    <w:uiPriority w:val="99"/>
    <w:rPr>
      <w:rFonts w:ascii="Calibri" w:hAnsi="Calibri" w:eastAsia="宋体" w:cs="Times New Roman"/>
      <w:sz w:val="18"/>
      <w:szCs w:val="18"/>
    </w:rPr>
  </w:style>
  <w:style w:type="paragraph" w:customStyle="1" w:styleId="12">
    <w:name w:val="Normal Indent1"/>
    <w:basedOn w:val="1"/>
    <w:qFormat/>
    <w:uiPriority w:val="0"/>
    <w:pPr>
      <w:spacing w:line="660" w:lineRule="exact"/>
      <w:ind w:firstLine="720" w:firstLineChars="200"/>
    </w:pPr>
    <w:rPr>
      <w:rFonts w:ascii="Calibri" w:hAnsi="Calibri" w:eastAsia="楷体_GB2312"/>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13236</Words>
  <Characters>13459</Characters>
  <Lines>12</Lines>
  <Paragraphs>3</Paragraphs>
  <TotalTime>16</TotalTime>
  <ScaleCrop>false</ScaleCrop>
  <LinksUpToDate>false</LinksUpToDate>
  <CharactersWithSpaces>13467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2024-07-13T08:29:00Z</dcterms:created>
  <dc:creator>yu luo</dc:creator>
  <cp:lastModifiedBy>MissX</cp:lastModifiedBy>
  <cp:lastPrinted>2024-08-13T15:48:00Z</cp:lastPrinted>
  <dcterms:modified xsi:type="dcterms:W3CDTF">2024-08-21T07:41:28Z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751C5DE2FC554F8B9A783F48B795507B_13</vt:lpwstr>
  </property>
</Properties>
</file>