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63" w:rsidRPr="00C66B57" w:rsidRDefault="00C11E7F" w:rsidP="00C66B57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Shanghai Municipal Financial Regulatory Bureau</w:t>
      </w:r>
    </w:p>
    <w:p w:rsidR="00A25F63" w:rsidRPr="00C66B57" w:rsidRDefault="00C11E7F" w:rsidP="00C66B57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Shanghai Municipal Market Regulatory Bureau</w:t>
      </w:r>
    </w:p>
    <w:p w:rsidR="00A25F63" w:rsidRPr="00C66B57" w:rsidRDefault="00A25F63" w:rsidP="00F2330D">
      <w:pPr>
        <w:spacing w:afterLines="10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6B57">
        <w:rPr>
          <w:rFonts w:ascii="Times New Roman" w:hAnsi="Times New Roman" w:cs="Times New Roman"/>
          <w:b/>
          <w:color w:val="C00000"/>
          <w:sz w:val="28"/>
          <w:szCs w:val="28"/>
        </w:rPr>
        <w:t>Shanghai Branch of the People’s Bank of China</w:t>
      </w:r>
    </w:p>
    <w:p w:rsidR="00A25F63" w:rsidRPr="00700C35" w:rsidRDefault="00A25F63" w:rsidP="00F2330D">
      <w:pPr>
        <w:pBdr>
          <w:bottom w:val="single" w:sz="12" w:space="1" w:color="C00000"/>
        </w:pBdr>
        <w:spacing w:afterLines="100" w:line="276" w:lineRule="auto"/>
        <w:jc w:val="center"/>
        <w:rPr>
          <w:rFonts w:ascii="Times New Roman" w:hAnsi="Times New Roman" w:cs="Times New Roman"/>
          <w:sz w:val="22"/>
        </w:rPr>
      </w:pPr>
      <w:r w:rsidRPr="00700C35">
        <w:rPr>
          <w:rFonts w:ascii="Times New Roman" w:hAnsi="Times New Roman" w:cs="Times New Roman"/>
          <w:sz w:val="22"/>
        </w:rPr>
        <w:t>No. 45</w:t>
      </w:r>
      <w:r w:rsidR="00BF12FF" w:rsidRPr="00F86B26">
        <w:rPr>
          <w:rFonts w:ascii="Times New Roman" w:hAnsi="Times New Roman" w:cs="Times New Roman"/>
          <w:sz w:val="22"/>
        </w:rPr>
        <w:t>[2019]</w:t>
      </w:r>
      <w:r w:rsidR="00F86B26" w:rsidRPr="00F86B26">
        <w:rPr>
          <w:rFonts w:ascii="Times New Roman" w:hAnsi="Times New Roman" w:cs="Times New Roman"/>
          <w:sz w:val="22"/>
        </w:rPr>
        <w:t>of Shanghai Municipal Financial Regulatory Bureau</w:t>
      </w:r>
    </w:p>
    <w:p w:rsidR="00A25F63" w:rsidRPr="00C66B57" w:rsidRDefault="00A25F63" w:rsidP="00F2330D">
      <w:pPr>
        <w:spacing w:afterLines="1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57">
        <w:rPr>
          <w:rFonts w:ascii="Times New Roman" w:hAnsi="Times New Roman" w:cs="Times New Roman"/>
          <w:b/>
          <w:sz w:val="26"/>
          <w:szCs w:val="26"/>
        </w:rPr>
        <w:t xml:space="preserve">Notice </w:t>
      </w:r>
      <w:r w:rsidR="003021E4" w:rsidRPr="00C66B57">
        <w:rPr>
          <w:rFonts w:ascii="Times New Roman" w:hAnsi="Times New Roman" w:cs="Times New Roman"/>
          <w:b/>
          <w:sz w:val="26"/>
          <w:szCs w:val="26"/>
        </w:rPr>
        <w:t xml:space="preserve">of </w:t>
      </w:r>
      <w:r w:rsidR="00C11E7F">
        <w:rPr>
          <w:rFonts w:ascii="Times New Roman" w:hAnsi="Times New Roman" w:cs="Times New Roman"/>
          <w:b/>
          <w:sz w:val="26"/>
          <w:szCs w:val="26"/>
        </w:rPr>
        <w:t>Shanghai Municipal Financial Regulatory Bureau</w:t>
      </w:r>
      <w:r w:rsidR="003021E4" w:rsidRPr="00C66B5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11E7F">
        <w:rPr>
          <w:rFonts w:ascii="Times New Roman" w:hAnsi="Times New Roman" w:cs="Times New Roman"/>
          <w:b/>
          <w:sz w:val="26"/>
          <w:szCs w:val="26"/>
        </w:rPr>
        <w:t>Shanghai Municipal Market Regulatory Bureau</w:t>
      </w:r>
      <w:r w:rsidR="003021E4" w:rsidRPr="00C66B57">
        <w:rPr>
          <w:rFonts w:ascii="Times New Roman" w:hAnsi="Times New Roman" w:cs="Times New Roman"/>
          <w:b/>
          <w:sz w:val="26"/>
          <w:szCs w:val="26"/>
        </w:rPr>
        <w:t xml:space="preserve"> and Shanghai Branch of the People’s Bank of China </w:t>
      </w:r>
      <w:r w:rsidRPr="00C66B57">
        <w:rPr>
          <w:rFonts w:ascii="Times New Roman" w:hAnsi="Times New Roman" w:cs="Times New Roman"/>
          <w:b/>
          <w:sz w:val="26"/>
          <w:szCs w:val="26"/>
        </w:rPr>
        <w:t xml:space="preserve">on Launching the Pilot Program of the Unified Registration of </w:t>
      </w:r>
      <w:r w:rsidR="003021E4" w:rsidRPr="00C66B57">
        <w:rPr>
          <w:rFonts w:ascii="Times New Roman" w:hAnsi="Times New Roman" w:cs="Times New Roman"/>
          <w:b/>
          <w:sz w:val="26"/>
          <w:szCs w:val="26"/>
        </w:rPr>
        <w:t>Security</w:t>
      </w:r>
      <w:r w:rsidR="00AD20EB" w:rsidRPr="00C66B57">
        <w:rPr>
          <w:rFonts w:ascii="Times New Roman" w:hAnsi="Times New Roman" w:cs="Times New Roman"/>
          <w:b/>
          <w:sz w:val="26"/>
          <w:szCs w:val="26"/>
        </w:rPr>
        <w:t xml:space="preserve"> Interests</w:t>
      </w:r>
      <w:r w:rsidR="003021E4" w:rsidRPr="00C66B57">
        <w:rPr>
          <w:rFonts w:ascii="Times New Roman" w:hAnsi="Times New Roman" w:cs="Times New Roman"/>
          <w:b/>
          <w:sz w:val="26"/>
          <w:szCs w:val="26"/>
        </w:rPr>
        <w:t xml:space="preserve"> over </w:t>
      </w:r>
      <w:r w:rsidRPr="00C66B57">
        <w:rPr>
          <w:rFonts w:ascii="Times New Roman" w:hAnsi="Times New Roman" w:cs="Times New Roman"/>
          <w:b/>
          <w:sz w:val="26"/>
          <w:szCs w:val="26"/>
        </w:rPr>
        <w:t>Movable</w:t>
      </w:r>
      <w:r w:rsidR="003021E4" w:rsidRPr="00C66B57">
        <w:rPr>
          <w:rFonts w:ascii="Times New Roman" w:hAnsi="Times New Roman" w:cs="Times New Roman"/>
          <w:b/>
          <w:sz w:val="26"/>
          <w:szCs w:val="26"/>
        </w:rPr>
        <w:t>s</w:t>
      </w:r>
    </w:p>
    <w:p w:rsidR="00A25F63" w:rsidRPr="00700C35" w:rsidRDefault="00A25F63" w:rsidP="00F2330D">
      <w:pPr>
        <w:spacing w:afterLines="100" w:line="276" w:lineRule="auto"/>
        <w:rPr>
          <w:rFonts w:ascii="Times New Roman" w:hAnsi="Times New Roman" w:cs="Times New Roman"/>
          <w:sz w:val="22"/>
        </w:rPr>
      </w:pPr>
      <w:r w:rsidRPr="00700C35">
        <w:rPr>
          <w:rFonts w:ascii="Times New Roman" w:hAnsi="Times New Roman" w:cs="Times New Roman"/>
          <w:sz w:val="22"/>
        </w:rPr>
        <w:t xml:space="preserve">To relevant departments of the Shanghai Municipal People’s Government, </w:t>
      </w:r>
      <w:r w:rsidR="00B67D8F">
        <w:rPr>
          <w:rFonts w:ascii="Times New Roman" w:hAnsi="Times New Roman" w:cs="Times New Roman"/>
          <w:sz w:val="22"/>
        </w:rPr>
        <w:t>P</w:t>
      </w:r>
      <w:r w:rsidR="00B67D8F" w:rsidRPr="00700C35">
        <w:rPr>
          <w:rFonts w:ascii="Times New Roman" w:hAnsi="Times New Roman" w:cs="Times New Roman"/>
          <w:sz w:val="22"/>
        </w:rPr>
        <w:t xml:space="preserve">eople’s </w:t>
      </w:r>
      <w:r w:rsidR="00B67D8F">
        <w:rPr>
          <w:rFonts w:ascii="Times New Roman" w:hAnsi="Times New Roman" w:cs="Times New Roman"/>
          <w:sz w:val="22"/>
        </w:rPr>
        <w:t>G</w:t>
      </w:r>
      <w:r w:rsidR="00B67D8F" w:rsidRPr="00700C35">
        <w:rPr>
          <w:rFonts w:ascii="Times New Roman" w:hAnsi="Times New Roman" w:cs="Times New Roman"/>
          <w:sz w:val="22"/>
        </w:rPr>
        <w:t xml:space="preserve">overnment </w:t>
      </w:r>
      <w:r w:rsidRPr="00700C35">
        <w:rPr>
          <w:rFonts w:ascii="Times New Roman" w:hAnsi="Times New Roman" w:cs="Times New Roman"/>
          <w:sz w:val="22"/>
        </w:rPr>
        <w:t xml:space="preserve">of </w:t>
      </w:r>
      <w:r w:rsidR="003021E4" w:rsidRPr="00700C35">
        <w:rPr>
          <w:rFonts w:ascii="Times New Roman" w:hAnsi="Times New Roman" w:cs="Times New Roman"/>
          <w:sz w:val="22"/>
        </w:rPr>
        <w:t>all</w:t>
      </w:r>
      <w:r w:rsidRPr="00700C35">
        <w:rPr>
          <w:rFonts w:ascii="Times New Roman" w:hAnsi="Times New Roman" w:cs="Times New Roman"/>
          <w:sz w:val="22"/>
        </w:rPr>
        <w:t xml:space="preserve"> districts of Shanghai Municipality, and </w:t>
      </w:r>
      <w:r w:rsidR="003021E4" w:rsidRPr="00700C35">
        <w:rPr>
          <w:rFonts w:ascii="Times New Roman" w:hAnsi="Times New Roman" w:cs="Times New Roman"/>
          <w:sz w:val="22"/>
        </w:rPr>
        <w:t>all relevant</w:t>
      </w:r>
      <w:r w:rsidRPr="00700C35">
        <w:rPr>
          <w:rFonts w:ascii="Times New Roman" w:hAnsi="Times New Roman" w:cs="Times New Roman"/>
          <w:sz w:val="22"/>
        </w:rPr>
        <w:t xml:space="preserve"> entities:</w:t>
      </w:r>
    </w:p>
    <w:p w:rsidR="00A25F63" w:rsidRPr="00700C35" w:rsidRDefault="00956522" w:rsidP="00F2330D">
      <w:pPr>
        <w:spacing w:afterLines="100" w:line="276" w:lineRule="auto"/>
        <w:rPr>
          <w:rFonts w:ascii="Times New Roman" w:hAnsi="Times New Roman" w:cs="Times New Roman"/>
          <w:sz w:val="22"/>
        </w:rPr>
      </w:pPr>
      <w:r w:rsidRPr="00700C35">
        <w:rPr>
          <w:rFonts w:ascii="Times New Roman" w:hAnsi="Times New Roman" w:cs="Times New Roman"/>
          <w:sz w:val="22"/>
        </w:rPr>
        <w:t>To further improve the registration of security</w:t>
      </w:r>
      <w:r w:rsidR="00AD20EB" w:rsidRPr="00700C35">
        <w:rPr>
          <w:rFonts w:ascii="Times New Roman" w:hAnsi="Times New Roman" w:cs="Times New Roman"/>
          <w:sz w:val="22"/>
        </w:rPr>
        <w:t xml:space="preserve"> interests</w:t>
      </w:r>
      <w:r w:rsidRPr="00700C35">
        <w:rPr>
          <w:rFonts w:ascii="Times New Roman" w:hAnsi="Times New Roman" w:cs="Times New Roman"/>
          <w:sz w:val="22"/>
        </w:rPr>
        <w:t xml:space="preserve"> over movables and expand the convenience and availability of financial loan services, </w:t>
      </w:r>
      <w:r w:rsidR="00A25F63" w:rsidRPr="00700C35">
        <w:rPr>
          <w:rFonts w:ascii="Times New Roman" w:hAnsi="Times New Roman" w:cs="Times New Roman"/>
          <w:sz w:val="22"/>
        </w:rPr>
        <w:t xml:space="preserve">issues concerning </w:t>
      </w:r>
      <w:r w:rsidR="008F7654" w:rsidRPr="00700C35">
        <w:rPr>
          <w:rFonts w:ascii="Times New Roman" w:hAnsi="Times New Roman" w:cs="Times New Roman"/>
          <w:sz w:val="22"/>
        </w:rPr>
        <w:t>implementation of</w:t>
      </w:r>
      <w:r w:rsidR="00A25F63" w:rsidRPr="00700C35">
        <w:rPr>
          <w:rFonts w:ascii="Times New Roman" w:hAnsi="Times New Roman" w:cs="Times New Roman"/>
          <w:sz w:val="22"/>
        </w:rPr>
        <w:t xml:space="preserve"> the pilot program of the unified registration of </w:t>
      </w:r>
      <w:r w:rsidRPr="00700C35">
        <w:rPr>
          <w:rFonts w:ascii="Times New Roman" w:hAnsi="Times New Roman" w:cs="Times New Roman"/>
          <w:sz w:val="22"/>
        </w:rPr>
        <w:t xml:space="preserve">security </w:t>
      </w:r>
      <w:r w:rsidR="00AD20EB" w:rsidRPr="00700C35">
        <w:rPr>
          <w:rFonts w:ascii="Times New Roman" w:hAnsi="Times New Roman" w:cs="Times New Roman"/>
          <w:sz w:val="22"/>
        </w:rPr>
        <w:t xml:space="preserve">interests </w:t>
      </w:r>
      <w:r w:rsidRPr="00700C35">
        <w:rPr>
          <w:rFonts w:ascii="Times New Roman" w:hAnsi="Times New Roman" w:cs="Times New Roman"/>
          <w:sz w:val="22"/>
        </w:rPr>
        <w:t>over movables in Shanghai Municipality</w:t>
      </w:r>
      <w:r w:rsidR="008F7654" w:rsidRPr="00700C35">
        <w:rPr>
          <w:rFonts w:ascii="Times New Roman" w:hAnsi="Times New Roman" w:cs="Times New Roman"/>
          <w:sz w:val="22"/>
        </w:rPr>
        <w:t xml:space="preserve"> (the “pilot program”)</w:t>
      </w:r>
      <w:r w:rsidRPr="00700C35">
        <w:rPr>
          <w:rFonts w:ascii="Times New Roman" w:hAnsi="Times New Roman" w:cs="Times New Roman"/>
          <w:sz w:val="22"/>
        </w:rPr>
        <w:t xml:space="preserve"> is hereby set out as follows</w:t>
      </w:r>
      <w:r w:rsidR="00A25F63" w:rsidRPr="00700C35">
        <w:rPr>
          <w:rFonts w:ascii="Times New Roman" w:hAnsi="Times New Roman" w:cs="Times New Roman"/>
          <w:sz w:val="22"/>
        </w:rPr>
        <w:t xml:space="preserve"> in accordance with the </w:t>
      </w:r>
      <w:r w:rsidR="00A25F63" w:rsidRPr="00700C35">
        <w:rPr>
          <w:rFonts w:ascii="Times New Roman" w:hAnsi="Times New Roman" w:cs="Times New Roman"/>
          <w:i/>
          <w:sz w:val="22"/>
        </w:rPr>
        <w:t>Action Plan for Building the Shanghai International Financial Center</w:t>
      </w:r>
      <w:r w:rsidR="00A25F63" w:rsidRPr="00700C35">
        <w:rPr>
          <w:rFonts w:ascii="Times New Roman" w:hAnsi="Times New Roman" w:cs="Times New Roman"/>
          <w:sz w:val="22"/>
        </w:rPr>
        <w:t xml:space="preserve"> (No. 17</w:t>
      </w:r>
      <w:r w:rsidR="00BF12FF" w:rsidRPr="00F86B26">
        <w:rPr>
          <w:rFonts w:ascii="Times New Roman" w:hAnsi="Times New Roman" w:cs="Times New Roman"/>
          <w:sz w:val="22"/>
        </w:rPr>
        <w:t>[2019]</w:t>
      </w:r>
      <w:r w:rsidR="00F86B26" w:rsidRPr="00F86B26">
        <w:rPr>
          <w:rFonts w:ascii="Times New Roman" w:hAnsi="Times New Roman" w:cs="Times New Roman"/>
          <w:sz w:val="22"/>
        </w:rPr>
        <w:t>of the People’s Bank of China</w:t>
      </w:r>
      <w:r w:rsidR="00A25F63" w:rsidRPr="00700C35">
        <w:rPr>
          <w:rFonts w:ascii="Times New Roman" w:hAnsi="Times New Roman" w:cs="Times New Roman"/>
          <w:sz w:val="22"/>
        </w:rPr>
        <w:t xml:space="preserve">) and the </w:t>
      </w:r>
      <w:r w:rsidR="00A25F63" w:rsidRPr="00700C35">
        <w:rPr>
          <w:rFonts w:ascii="Times New Roman" w:hAnsi="Times New Roman" w:cs="Times New Roman"/>
          <w:i/>
          <w:sz w:val="22"/>
        </w:rPr>
        <w:t>Implementation Plan of Shanghai Municipality for Further Optimizing the Business Environment</w:t>
      </w:r>
      <w:r w:rsidR="00A25F63" w:rsidRPr="00700C35">
        <w:rPr>
          <w:rFonts w:ascii="Times New Roman" w:hAnsi="Times New Roman" w:cs="Times New Roman"/>
          <w:sz w:val="22"/>
        </w:rPr>
        <w:t>.</w:t>
      </w:r>
    </w:p>
    <w:p w:rsidR="00A25F63" w:rsidRPr="00700C35" w:rsidRDefault="00A25F63" w:rsidP="00F2330D">
      <w:pPr>
        <w:spacing w:afterLines="100" w:line="276" w:lineRule="auto"/>
        <w:rPr>
          <w:rFonts w:ascii="Times New Roman" w:hAnsi="Times New Roman" w:cs="Times New Roman"/>
          <w:sz w:val="22"/>
        </w:rPr>
      </w:pPr>
      <w:r w:rsidRPr="00700C35">
        <w:rPr>
          <w:rFonts w:ascii="Times New Roman" w:hAnsi="Times New Roman" w:cs="Times New Roman"/>
          <w:sz w:val="22"/>
        </w:rPr>
        <w:t xml:space="preserve">I. </w:t>
      </w:r>
      <w:r w:rsidR="003C3AC8" w:rsidRPr="00700C35">
        <w:rPr>
          <w:rFonts w:ascii="Times New Roman" w:hAnsi="Times New Roman" w:cs="Times New Roman"/>
          <w:sz w:val="22"/>
        </w:rPr>
        <w:t xml:space="preserve">The </w:t>
      </w:r>
      <w:r w:rsidRPr="00700C35">
        <w:rPr>
          <w:rFonts w:ascii="Times New Roman" w:hAnsi="Times New Roman" w:cs="Times New Roman"/>
          <w:sz w:val="22"/>
        </w:rPr>
        <w:t xml:space="preserve">Shanghai municipal market regulator </w:t>
      </w:r>
      <w:r w:rsidR="00956522" w:rsidRPr="00700C35">
        <w:rPr>
          <w:rFonts w:ascii="Times New Roman" w:hAnsi="Times New Roman" w:cs="Times New Roman"/>
          <w:sz w:val="22"/>
        </w:rPr>
        <w:t xml:space="preserve">will </w:t>
      </w:r>
      <w:r w:rsidRPr="00700C35">
        <w:rPr>
          <w:rFonts w:ascii="Times New Roman" w:hAnsi="Times New Roman" w:cs="Times New Roman"/>
          <w:sz w:val="22"/>
        </w:rPr>
        <w:t xml:space="preserve">delegate </w:t>
      </w:r>
      <w:r w:rsidR="00956522" w:rsidRPr="00700C35">
        <w:rPr>
          <w:rFonts w:ascii="Times New Roman" w:hAnsi="Times New Roman" w:cs="Times New Roman"/>
          <w:sz w:val="22"/>
        </w:rPr>
        <w:t>to the Credit Reference Center of the People’s Bank of China (</w:t>
      </w:r>
      <w:r w:rsidR="003C3AC8" w:rsidRPr="00700C35">
        <w:rPr>
          <w:rFonts w:ascii="Times New Roman" w:hAnsi="Times New Roman" w:cs="Times New Roman"/>
          <w:sz w:val="22"/>
        </w:rPr>
        <w:t>the “CCRC”</w:t>
      </w:r>
      <w:r w:rsidR="00956522" w:rsidRPr="00700C35">
        <w:rPr>
          <w:rFonts w:ascii="Times New Roman" w:hAnsi="Times New Roman" w:cs="Times New Roman"/>
          <w:sz w:val="22"/>
        </w:rPr>
        <w:t xml:space="preserve">) </w:t>
      </w:r>
      <w:r w:rsidR="00B543C3" w:rsidRPr="00700C35">
        <w:rPr>
          <w:rFonts w:ascii="Times New Roman" w:hAnsi="Times New Roman" w:cs="Times New Roman"/>
          <w:sz w:val="22"/>
        </w:rPr>
        <w:t xml:space="preserve">its functions as the registration authority for </w:t>
      </w:r>
      <w:r w:rsidRPr="00700C35">
        <w:rPr>
          <w:rFonts w:ascii="Times New Roman" w:hAnsi="Times New Roman" w:cs="Times New Roman"/>
          <w:sz w:val="22"/>
        </w:rPr>
        <w:t>mortgages on movable</w:t>
      </w:r>
      <w:r w:rsidR="00956522" w:rsidRPr="00700C35">
        <w:rPr>
          <w:rFonts w:ascii="Times New Roman" w:hAnsi="Times New Roman" w:cs="Times New Roman"/>
          <w:sz w:val="22"/>
        </w:rPr>
        <w:t xml:space="preserve">s, </w:t>
      </w:r>
      <w:r w:rsidRPr="00700C35">
        <w:rPr>
          <w:rFonts w:ascii="Times New Roman" w:hAnsi="Times New Roman" w:cs="Times New Roman"/>
          <w:sz w:val="22"/>
        </w:rPr>
        <w:t xml:space="preserve">including production </w:t>
      </w:r>
      <w:r w:rsidR="00956522" w:rsidRPr="00700C35">
        <w:rPr>
          <w:rFonts w:ascii="Times New Roman" w:hAnsi="Times New Roman" w:cs="Times New Roman"/>
          <w:sz w:val="22"/>
        </w:rPr>
        <w:t>equipment</w:t>
      </w:r>
      <w:r w:rsidRPr="00700C35">
        <w:rPr>
          <w:rFonts w:ascii="Times New Roman" w:hAnsi="Times New Roman" w:cs="Times New Roman"/>
          <w:sz w:val="22"/>
        </w:rPr>
        <w:t xml:space="preserve">, raw materials, semi-finished products and products. </w:t>
      </w:r>
      <w:r w:rsidR="00AD20EB" w:rsidRPr="00700C35">
        <w:rPr>
          <w:rFonts w:ascii="Times New Roman" w:hAnsi="Times New Roman" w:cs="Times New Roman"/>
          <w:sz w:val="22"/>
        </w:rPr>
        <w:t>R</w:t>
      </w:r>
      <w:r w:rsidRPr="00700C35">
        <w:rPr>
          <w:rFonts w:ascii="Times New Roman" w:hAnsi="Times New Roman" w:cs="Times New Roman"/>
          <w:sz w:val="22"/>
        </w:rPr>
        <w:t>egistrant</w:t>
      </w:r>
      <w:r w:rsidR="00AD20EB" w:rsidRPr="00700C35">
        <w:rPr>
          <w:rFonts w:ascii="Times New Roman" w:hAnsi="Times New Roman" w:cs="Times New Roman"/>
          <w:sz w:val="22"/>
        </w:rPr>
        <w:t>s</w:t>
      </w:r>
      <w:r w:rsidR="00B543C3" w:rsidRPr="00700C35">
        <w:rPr>
          <w:rFonts w:ascii="Times New Roman" w:hAnsi="Times New Roman" w:cs="Times New Roman"/>
          <w:sz w:val="22"/>
        </w:rPr>
        <w:t xml:space="preserve"> who intend to</w:t>
      </w:r>
      <w:r w:rsidR="00990CBD">
        <w:rPr>
          <w:rFonts w:ascii="Times New Roman" w:hAnsi="Times New Roman" w:cs="Times New Roman" w:hint="eastAsia"/>
          <w:sz w:val="22"/>
        </w:rPr>
        <w:t xml:space="preserve"> </w:t>
      </w:r>
      <w:r w:rsidR="00B543C3" w:rsidRPr="00700C35">
        <w:rPr>
          <w:rFonts w:ascii="Times New Roman" w:hAnsi="Times New Roman" w:cs="Times New Roman"/>
          <w:sz w:val="22"/>
        </w:rPr>
        <w:t>register security</w:t>
      </w:r>
      <w:r w:rsidR="00AD20EB" w:rsidRPr="00700C35">
        <w:rPr>
          <w:rFonts w:ascii="Times New Roman" w:hAnsi="Times New Roman" w:cs="Times New Roman"/>
          <w:sz w:val="22"/>
        </w:rPr>
        <w:t xml:space="preserve"> interests</w:t>
      </w:r>
      <w:r w:rsidR="00B543C3" w:rsidRPr="00700C35">
        <w:rPr>
          <w:rFonts w:ascii="Times New Roman" w:hAnsi="Times New Roman" w:cs="Times New Roman"/>
          <w:sz w:val="22"/>
        </w:rPr>
        <w:t xml:space="preserve"> over any movables other than aircrafts, ships, intellectual property rights, and motor vehicles in Shanghai </w:t>
      </w:r>
      <w:r w:rsidRPr="00700C35">
        <w:rPr>
          <w:rFonts w:ascii="Times New Roman" w:hAnsi="Times New Roman" w:cs="Times New Roman"/>
          <w:sz w:val="22"/>
        </w:rPr>
        <w:t xml:space="preserve">should </w:t>
      </w:r>
      <w:r w:rsidR="00B543C3" w:rsidRPr="00700C35">
        <w:rPr>
          <w:rFonts w:ascii="Times New Roman" w:hAnsi="Times New Roman" w:cs="Times New Roman"/>
          <w:sz w:val="22"/>
        </w:rPr>
        <w:t>do so</w:t>
      </w:r>
      <w:r w:rsidRPr="00700C35">
        <w:rPr>
          <w:rFonts w:ascii="Times New Roman" w:hAnsi="Times New Roman" w:cs="Times New Roman"/>
          <w:sz w:val="22"/>
        </w:rPr>
        <w:t xml:space="preserve"> through the </w:t>
      </w:r>
      <w:r w:rsidR="003C3AC8" w:rsidRPr="00700C35">
        <w:rPr>
          <w:rFonts w:ascii="Times New Roman" w:hAnsi="Times New Roman" w:cs="Times New Roman"/>
          <w:sz w:val="22"/>
        </w:rPr>
        <w:t xml:space="preserve">CCRC’s </w:t>
      </w:r>
      <w:r w:rsidR="00E84F52" w:rsidRPr="00700C35">
        <w:rPr>
          <w:rFonts w:ascii="Times New Roman" w:hAnsi="Times New Roman" w:cs="Times New Roman"/>
          <w:sz w:val="22"/>
        </w:rPr>
        <w:t>unified</w:t>
      </w:r>
      <w:r w:rsidRPr="00700C35">
        <w:rPr>
          <w:rFonts w:ascii="Times New Roman" w:hAnsi="Times New Roman" w:cs="Times New Roman"/>
          <w:sz w:val="22"/>
        </w:rPr>
        <w:t xml:space="preserve"> registration publicity system</w:t>
      </w:r>
      <w:r w:rsidR="00E84F52" w:rsidRPr="00700C35">
        <w:rPr>
          <w:rFonts w:ascii="Times New Roman" w:hAnsi="Times New Roman" w:cs="Times New Roman"/>
          <w:sz w:val="22"/>
        </w:rPr>
        <w:t xml:space="preserve"> for movables financing</w:t>
      </w:r>
      <w:r w:rsidRPr="00700C35">
        <w:rPr>
          <w:rFonts w:ascii="Times New Roman" w:hAnsi="Times New Roman" w:cs="Times New Roman"/>
          <w:sz w:val="22"/>
        </w:rPr>
        <w:t xml:space="preserve"> (the “registration system”)</w:t>
      </w:r>
      <w:r w:rsidR="003C3AC8" w:rsidRPr="00700C35">
        <w:rPr>
          <w:rFonts w:ascii="Times New Roman" w:hAnsi="Times New Roman" w:cs="Times New Roman"/>
          <w:sz w:val="22"/>
        </w:rPr>
        <w:t>. The CCRC</w:t>
      </w:r>
      <w:r w:rsidR="00A41945">
        <w:rPr>
          <w:rFonts w:ascii="Times New Roman" w:hAnsi="Times New Roman" w:cs="Times New Roman" w:hint="eastAsia"/>
          <w:sz w:val="22"/>
        </w:rPr>
        <w:t xml:space="preserve"> </w:t>
      </w:r>
      <w:r w:rsidR="003C3AC8" w:rsidRPr="00700C35">
        <w:rPr>
          <w:rFonts w:ascii="Times New Roman" w:hAnsi="Times New Roman" w:cs="Times New Roman"/>
          <w:sz w:val="22"/>
        </w:rPr>
        <w:t>will</w:t>
      </w:r>
      <w:r w:rsidR="00EC12A6" w:rsidRPr="00700C35">
        <w:rPr>
          <w:rFonts w:ascii="Times New Roman" w:hAnsi="Times New Roman" w:cs="Times New Roman"/>
          <w:sz w:val="22"/>
        </w:rPr>
        <w:t>, as instructed by Shanghai municipal market regulator, provide services for registration of security</w:t>
      </w:r>
      <w:r w:rsidR="00AD20EB" w:rsidRPr="00700C35">
        <w:rPr>
          <w:rFonts w:ascii="Times New Roman" w:hAnsi="Times New Roman" w:cs="Times New Roman"/>
          <w:sz w:val="22"/>
        </w:rPr>
        <w:t xml:space="preserve"> interests</w:t>
      </w:r>
      <w:r w:rsidR="00EC12A6" w:rsidRPr="00700C35">
        <w:rPr>
          <w:rFonts w:ascii="Times New Roman" w:hAnsi="Times New Roman" w:cs="Times New Roman"/>
          <w:sz w:val="22"/>
        </w:rPr>
        <w:t xml:space="preserve"> over movables in the registration system and offer guidance over such services to make it easy for registrants to register such security</w:t>
      </w:r>
      <w:r w:rsidR="00AD20EB" w:rsidRPr="00700C35">
        <w:rPr>
          <w:rFonts w:ascii="Times New Roman" w:hAnsi="Times New Roman" w:cs="Times New Roman"/>
          <w:sz w:val="22"/>
        </w:rPr>
        <w:t xml:space="preserve"> interests</w:t>
      </w:r>
      <w:r w:rsidR="00EC12A6" w:rsidRPr="00700C35">
        <w:rPr>
          <w:rFonts w:ascii="Times New Roman" w:hAnsi="Times New Roman" w:cs="Times New Roman"/>
          <w:sz w:val="22"/>
        </w:rPr>
        <w:t>.</w:t>
      </w:r>
    </w:p>
    <w:p w:rsidR="00E84F52" w:rsidRPr="00700C35" w:rsidRDefault="00E84F52" w:rsidP="00F2330D">
      <w:pPr>
        <w:spacing w:afterLines="100" w:line="276" w:lineRule="auto"/>
        <w:rPr>
          <w:rFonts w:ascii="Times New Roman" w:hAnsi="Times New Roman" w:cs="Times New Roman"/>
          <w:sz w:val="22"/>
        </w:rPr>
      </w:pPr>
      <w:r w:rsidRPr="00700C35">
        <w:rPr>
          <w:rFonts w:ascii="Times New Roman" w:hAnsi="Times New Roman" w:cs="Times New Roman"/>
          <w:sz w:val="22"/>
        </w:rPr>
        <w:t xml:space="preserve">II. </w:t>
      </w:r>
      <w:r w:rsidR="003E5D36" w:rsidRPr="00700C35">
        <w:rPr>
          <w:rFonts w:ascii="Times New Roman" w:hAnsi="Times New Roman" w:cs="Times New Roman"/>
          <w:sz w:val="22"/>
        </w:rPr>
        <w:t>When</w:t>
      </w:r>
      <w:r w:rsidRPr="00700C35">
        <w:rPr>
          <w:rFonts w:ascii="Times New Roman" w:hAnsi="Times New Roman" w:cs="Times New Roman"/>
          <w:sz w:val="22"/>
        </w:rPr>
        <w:t xml:space="preserve"> register</w:t>
      </w:r>
      <w:r w:rsidR="003E5D36" w:rsidRPr="00700C35">
        <w:rPr>
          <w:rFonts w:ascii="Times New Roman" w:hAnsi="Times New Roman" w:cs="Times New Roman"/>
          <w:sz w:val="22"/>
        </w:rPr>
        <w:t>ing</w:t>
      </w:r>
      <w:r w:rsidR="00A41945">
        <w:rPr>
          <w:rFonts w:ascii="Times New Roman" w:hAnsi="Times New Roman" w:cs="Times New Roman" w:hint="eastAsia"/>
          <w:sz w:val="22"/>
        </w:rPr>
        <w:t xml:space="preserve"> </w:t>
      </w:r>
      <w:r w:rsidR="00AD20EB" w:rsidRPr="00700C35">
        <w:rPr>
          <w:rFonts w:ascii="Times New Roman" w:hAnsi="Times New Roman" w:cs="Times New Roman"/>
          <w:sz w:val="22"/>
        </w:rPr>
        <w:t xml:space="preserve">a </w:t>
      </w:r>
      <w:r w:rsidRPr="00700C35">
        <w:rPr>
          <w:rFonts w:ascii="Times New Roman" w:hAnsi="Times New Roman" w:cs="Times New Roman"/>
          <w:sz w:val="22"/>
        </w:rPr>
        <w:t>security</w:t>
      </w:r>
      <w:r w:rsidR="00AD20EB" w:rsidRPr="00700C35">
        <w:rPr>
          <w:rFonts w:ascii="Times New Roman" w:hAnsi="Times New Roman" w:cs="Times New Roman"/>
          <w:sz w:val="22"/>
        </w:rPr>
        <w:t xml:space="preserve"> interest</w:t>
      </w:r>
      <w:r w:rsidRPr="00700C35">
        <w:rPr>
          <w:rFonts w:ascii="Times New Roman" w:hAnsi="Times New Roman" w:cs="Times New Roman"/>
          <w:sz w:val="22"/>
        </w:rPr>
        <w:t xml:space="preserve"> over </w:t>
      </w:r>
      <w:r w:rsidR="00EF46C2" w:rsidRPr="00700C35">
        <w:rPr>
          <w:rFonts w:ascii="Times New Roman" w:hAnsi="Times New Roman" w:cs="Times New Roman"/>
          <w:sz w:val="22"/>
        </w:rPr>
        <w:t xml:space="preserve">a </w:t>
      </w:r>
      <w:r w:rsidRPr="00700C35">
        <w:rPr>
          <w:rFonts w:ascii="Times New Roman" w:hAnsi="Times New Roman" w:cs="Times New Roman"/>
          <w:sz w:val="22"/>
        </w:rPr>
        <w:t xml:space="preserve">movable pursuant to the </w:t>
      </w:r>
      <w:r w:rsidRPr="00700C35">
        <w:rPr>
          <w:rFonts w:ascii="Times New Roman" w:hAnsi="Times New Roman" w:cs="Times New Roman"/>
          <w:i/>
          <w:sz w:val="22"/>
        </w:rPr>
        <w:t>Operating Rules for the Unified Registration Publicity System for Movables Financing</w:t>
      </w:r>
      <w:r w:rsidR="003E5D36" w:rsidRPr="00700C35">
        <w:rPr>
          <w:rFonts w:ascii="Times New Roman" w:hAnsi="Times New Roman" w:cs="Times New Roman"/>
          <w:i/>
          <w:sz w:val="22"/>
        </w:rPr>
        <w:t xml:space="preserve">, </w:t>
      </w:r>
      <w:r w:rsidR="003E5D36" w:rsidRPr="00700C35">
        <w:rPr>
          <w:rFonts w:ascii="Times New Roman" w:hAnsi="Times New Roman" w:cs="Times New Roman"/>
          <w:sz w:val="22"/>
        </w:rPr>
        <w:t>a registrant</w:t>
      </w:r>
      <w:r w:rsidRPr="00700C35">
        <w:rPr>
          <w:rFonts w:ascii="Times New Roman" w:hAnsi="Times New Roman" w:cs="Times New Roman"/>
          <w:sz w:val="22"/>
        </w:rPr>
        <w:t xml:space="preserve"> should truthfully </w:t>
      </w:r>
      <w:r w:rsidR="003E5D36" w:rsidRPr="00700C35">
        <w:rPr>
          <w:rFonts w:ascii="Times New Roman" w:hAnsi="Times New Roman" w:cs="Times New Roman"/>
          <w:sz w:val="22"/>
        </w:rPr>
        <w:t>provide</w:t>
      </w:r>
      <w:r w:rsidR="00A41945">
        <w:rPr>
          <w:rFonts w:ascii="Times New Roman" w:hAnsi="Times New Roman" w:cs="Times New Roman" w:hint="eastAsia"/>
          <w:sz w:val="22"/>
        </w:rPr>
        <w:t xml:space="preserve"> </w:t>
      </w:r>
      <w:r w:rsidR="003E5D36" w:rsidRPr="00700C35">
        <w:rPr>
          <w:rFonts w:ascii="Times New Roman" w:hAnsi="Times New Roman" w:cs="Times New Roman"/>
          <w:sz w:val="22"/>
        </w:rPr>
        <w:t>information required for such registration and be responsible for</w:t>
      </w:r>
      <w:r w:rsidR="006540EC">
        <w:rPr>
          <w:rFonts w:ascii="Times New Roman" w:hAnsi="Times New Roman" w:cs="Times New Roman" w:hint="eastAsia"/>
          <w:sz w:val="22"/>
        </w:rPr>
        <w:t xml:space="preserve"> </w:t>
      </w:r>
      <w:r w:rsidR="003E5D36" w:rsidRPr="00700C35">
        <w:rPr>
          <w:rFonts w:ascii="Times New Roman" w:hAnsi="Times New Roman" w:cs="Times New Roman"/>
          <w:sz w:val="22"/>
        </w:rPr>
        <w:t xml:space="preserve">the </w:t>
      </w:r>
      <w:r w:rsidRPr="00700C35">
        <w:rPr>
          <w:rFonts w:ascii="Times New Roman" w:hAnsi="Times New Roman" w:cs="Times New Roman"/>
          <w:sz w:val="22"/>
        </w:rPr>
        <w:t>truthfulness, completeness, and legality of</w:t>
      </w:r>
      <w:r w:rsidR="003E5D36" w:rsidRPr="00700C35">
        <w:rPr>
          <w:rFonts w:ascii="Times New Roman" w:hAnsi="Times New Roman" w:cs="Times New Roman"/>
          <w:sz w:val="22"/>
        </w:rPr>
        <w:t xml:space="preserve"> such registration</w:t>
      </w:r>
      <w:r w:rsidRPr="00700C35">
        <w:rPr>
          <w:rFonts w:ascii="Times New Roman" w:hAnsi="Times New Roman" w:cs="Times New Roman"/>
          <w:sz w:val="22"/>
        </w:rPr>
        <w:t xml:space="preserve">. </w:t>
      </w:r>
      <w:r w:rsidR="000B583A" w:rsidRPr="000B583A">
        <w:rPr>
          <w:rFonts w:ascii="Times New Roman" w:hAnsi="Times New Roman" w:cs="Times New Roman"/>
          <w:sz w:val="22"/>
        </w:rPr>
        <w:t xml:space="preserve">A party who intends to create a security </w:t>
      </w:r>
      <w:r w:rsidR="000B583A" w:rsidRPr="000B583A">
        <w:rPr>
          <w:rFonts w:ascii="Times New Roman" w:hAnsi="Times New Roman" w:cs="Times New Roman"/>
          <w:sz w:val="22"/>
        </w:rPr>
        <w:lastRenderedPageBreak/>
        <w:t>interest over a movable shou</w:t>
      </w:r>
      <w:r w:rsidR="000B583A">
        <w:rPr>
          <w:rFonts w:ascii="Times New Roman" w:hAnsi="Times New Roman" w:cs="Times New Roman"/>
          <w:sz w:val="22"/>
        </w:rPr>
        <w:t>l</w:t>
      </w:r>
      <w:r w:rsidR="000B583A" w:rsidRPr="000B583A">
        <w:rPr>
          <w:rFonts w:ascii="Times New Roman" w:hAnsi="Times New Roman" w:cs="Times New Roman"/>
          <w:sz w:val="22"/>
        </w:rPr>
        <w:t>d,before doing so, check through the registration system whether any prior security interest over the movable has been registered</w:t>
      </w:r>
      <w:r w:rsidR="000B583A">
        <w:rPr>
          <w:rFonts w:ascii="Times New Roman" w:hAnsi="Times New Roman" w:cs="Times New Roman"/>
          <w:sz w:val="22"/>
        </w:rPr>
        <w:t>.</w:t>
      </w:r>
      <w:r w:rsidR="002359DD">
        <w:rPr>
          <w:rFonts w:ascii="Times New Roman" w:hAnsi="Times New Roman" w:cs="Times New Roman" w:hint="eastAsia"/>
          <w:sz w:val="22"/>
        </w:rPr>
        <w:t xml:space="preserve"> </w:t>
      </w:r>
      <w:r w:rsidR="003E5D36" w:rsidRPr="00700C35">
        <w:rPr>
          <w:rFonts w:ascii="Times New Roman" w:hAnsi="Times New Roman" w:cs="Times New Roman"/>
          <w:sz w:val="22"/>
        </w:rPr>
        <w:t xml:space="preserve">Such check is necessary for the </w:t>
      </w:r>
      <w:r w:rsidR="00EF46C2" w:rsidRPr="00700C35">
        <w:rPr>
          <w:rFonts w:ascii="Times New Roman" w:hAnsi="Times New Roman" w:cs="Times New Roman"/>
          <w:sz w:val="22"/>
        </w:rPr>
        <w:t>registration</w:t>
      </w:r>
      <w:r w:rsidR="003E5D36" w:rsidRPr="00700C35">
        <w:rPr>
          <w:rFonts w:ascii="Times New Roman" w:hAnsi="Times New Roman" w:cs="Times New Roman"/>
          <w:sz w:val="22"/>
        </w:rPr>
        <w:t xml:space="preserve"> of </w:t>
      </w:r>
      <w:r w:rsidR="00AD20EB" w:rsidRPr="00700C35">
        <w:rPr>
          <w:rFonts w:ascii="Times New Roman" w:hAnsi="Times New Roman" w:cs="Times New Roman"/>
          <w:sz w:val="22"/>
        </w:rPr>
        <w:t xml:space="preserve">the </w:t>
      </w:r>
      <w:r w:rsidR="003E5D36" w:rsidRPr="00700C35">
        <w:rPr>
          <w:rFonts w:ascii="Times New Roman" w:hAnsi="Times New Roman" w:cs="Times New Roman"/>
          <w:sz w:val="22"/>
        </w:rPr>
        <w:t>security</w:t>
      </w:r>
      <w:r w:rsidR="00AD20EB" w:rsidRPr="00700C35">
        <w:rPr>
          <w:rFonts w:ascii="Times New Roman" w:hAnsi="Times New Roman" w:cs="Times New Roman"/>
          <w:sz w:val="22"/>
        </w:rPr>
        <w:t xml:space="preserve"> interest </w:t>
      </w:r>
      <w:r w:rsidR="003E5D36" w:rsidRPr="00700C35">
        <w:rPr>
          <w:rFonts w:ascii="Times New Roman" w:hAnsi="Times New Roman" w:cs="Times New Roman"/>
          <w:sz w:val="22"/>
        </w:rPr>
        <w:t xml:space="preserve">over </w:t>
      </w:r>
      <w:r w:rsidR="00EF46C2" w:rsidRPr="00700C35">
        <w:rPr>
          <w:rFonts w:ascii="Times New Roman" w:hAnsi="Times New Roman" w:cs="Times New Roman"/>
          <w:sz w:val="22"/>
        </w:rPr>
        <w:t xml:space="preserve">the </w:t>
      </w:r>
      <w:r w:rsidR="003E5D36" w:rsidRPr="00700C35">
        <w:rPr>
          <w:rFonts w:ascii="Times New Roman" w:hAnsi="Times New Roman" w:cs="Times New Roman"/>
          <w:sz w:val="22"/>
        </w:rPr>
        <w:t xml:space="preserve">movable. </w:t>
      </w:r>
      <w:r w:rsidR="00F86B26" w:rsidRPr="00F86B26">
        <w:rPr>
          <w:rFonts w:ascii="Times New Roman" w:hAnsi="Times New Roman" w:cs="Times New Roman"/>
          <w:sz w:val="22"/>
        </w:rPr>
        <w:t>Any party should sole</w:t>
      </w:r>
      <w:r w:rsidR="00F86B26">
        <w:rPr>
          <w:rFonts w:ascii="Times New Roman" w:hAnsi="Times New Roman" w:cs="Times New Roman"/>
          <w:sz w:val="22"/>
        </w:rPr>
        <w:t>l</w:t>
      </w:r>
      <w:r w:rsidR="00F86B26" w:rsidRPr="00F86B26">
        <w:rPr>
          <w:rFonts w:ascii="Times New Roman" w:hAnsi="Times New Roman" w:cs="Times New Roman"/>
          <w:sz w:val="22"/>
        </w:rPr>
        <w:t>y bear risks associated with a movable over which a security interest has been registered and made public through the registration system</w:t>
      </w:r>
      <w:r w:rsidR="007A494E">
        <w:rPr>
          <w:rFonts w:ascii="Times New Roman" w:hAnsi="Times New Roman" w:cs="Times New Roman"/>
          <w:sz w:val="22"/>
        </w:rPr>
        <w:t>.</w:t>
      </w:r>
    </w:p>
    <w:p w:rsidR="00E84F52" w:rsidRPr="00700C35" w:rsidRDefault="00E84F52" w:rsidP="00F2330D">
      <w:pPr>
        <w:spacing w:afterLines="100" w:line="276" w:lineRule="auto"/>
        <w:rPr>
          <w:rFonts w:ascii="Times New Roman" w:hAnsi="Times New Roman" w:cs="Times New Roman"/>
          <w:sz w:val="22"/>
        </w:rPr>
      </w:pPr>
      <w:r w:rsidRPr="00700C35">
        <w:rPr>
          <w:rFonts w:ascii="Times New Roman" w:hAnsi="Times New Roman" w:cs="Times New Roman"/>
          <w:sz w:val="22"/>
        </w:rPr>
        <w:t>III. Each department and district should</w:t>
      </w:r>
      <w:r w:rsidR="00AD20EB" w:rsidRPr="00700C35">
        <w:rPr>
          <w:rFonts w:ascii="Times New Roman" w:hAnsi="Times New Roman" w:cs="Times New Roman"/>
          <w:sz w:val="22"/>
        </w:rPr>
        <w:t xml:space="preserve">, pursuant to this Notice, </w:t>
      </w:r>
      <w:r w:rsidRPr="00700C35">
        <w:rPr>
          <w:rFonts w:ascii="Times New Roman" w:hAnsi="Times New Roman" w:cs="Times New Roman"/>
          <w:sz w:val="22"/>
        </w:rPr>
        <w:t xml:space="preserve">properly </w:t>
      </w:r>
      <w:r w:rsidR="00AD20EB" w:rsidRPr="00700C35">
        <w:rPr>
          <w:rFonts w:ascii="Times New Roman" w:hAnsi="Times New Roman" w:cs="Times New Roman"/>
          <w:sz w:val="22"/>
        </w:rPr>
        <w:t>implement</w:t>
      </w:r>
      <w:r w:rsidRPr="00700C35">
        <w:rPr>
          <w:rFonts w:ascii="Times New Roman" w:hAnsi="Times New Roman" w:cs="Times New Roman"/>
          <w:sz w:val="22"/>
        </w:rPr>
        <w:t xml:space="preserve"> the pilot program </w:t>
      </w:r>
      <w:r w:rsidR="00877C61" w:rsidRPr="00700C35">
        <w:rPr>
          <w:rFonts w:ascii="Times New Roman" w:hAnsi="Times New Roman" w:cs="Times New Roman"/>
          <w:sz w:val="22"/>
        </w:rPr>
        <w:t>by</w:t>
      </w:r>
      <w:r w:rsidR="00A41945">
        <w:rPr>
          <w:rFonts w:ascii="Times New Roman" w:hAnsi="Times New Roman" w:cs="Times New Roman" w:hint="eastAsia"/>
          <w:sz w:val="22"/>
        </w:rPr>
        <w:t xml:space="preserve"> </w:t>
      </w:r>
      <w:r w:rsidR="00877C61" w:rsidRPr="00700C35">
        <w:rPr>
          <w:rFonts w:ascii="Times New Roman" w:hAnsi="Times New Roman" w:cs="Times New Roman"/>
          <w:sz w:val="22"/>
        </w:rPr>
        <w:t>enhancing coordination efforts</w:t>
      </w:r>
      <w:r w:rsidRPr="00700C35">
        <w:rPr>
          <w:rFonts w:ascii="Times New Roman" w:hAnsi="Times New Roman" w:cs="Times New Roman"/>
          <w:sz w:val="22"/>
        </w:rPr>
        <w:t xml:space="preserve"> and </w:t>
      </w:r>
      <w:r w:rsidR="00877C61" w:rsidRPr="00700C35">
        <w:rPr>
          <w:rFonts w:ascii="Times New Roman" w:hAnsi="Times New Roman" w:cs="Times New Roman"/>
          <w:sz w:val="22"/>
        </w:rPr>
        <w:t xml:space="preserve">providing more </w:t>
      </w:r>
      <w:r w:rsidRPr="00700C35">
        <w:rPr>
          <w:rFonts w:ascii="Times New Roman" w:hAnsi="Times New Roman" w:cs="Times New Roman"/>
          <w:sz w:val="22"/>
        </w:rPr>
        <w:t>guidance and training.</w:t>
      </w:r>
    </w:p>
    <w:p w:rsidR="00E84F52" w:rsidRDefault="00E84F52" w:rsidP="00F2330D">
      <w:pPr>
        <w:spacing w:afterLines="100" w:line="276" w:lineRule="auto"/>
        <w:jc w:val="left"/>
        <w:rPr>
          <w:rFonts w:ascii="Times New Roman" w:hAnsi="Times New Roman" w:cs="Times New Roman"/>
          <w:sz w:val="22"/>
        </w:rPr>
      </w:pPr>
    </w:p>
    <w:p w:rsidR="00C66B57" w:rsidRDefault="00C66B57" w:rsidP="00F2330D">
      <w:pPr>
        <w:spacing w:afterLines="100" w:line="276" w:lineRule="auto"/>
        <w:jc w:val="left"/>
        <w:rPr>
          <w:rFonts w:ascii="Times New Roman" w:hAnsi="Times New Roman" w:cs="Times New Roman"/>
          <w:sz w:val="22"/>
        </w:rPr>
      </w:pPr>
    </w:p>
    <w:p w:rsidR="00C66B57" w:rsidRDefault="00C66B57" w:rsidP="00F2330D">
      <w:pPr>
        <w:spacing w:afterLines="100" w:line="276" w:lineRule="auto"/>
        <w:jc w:val="left"/>
        <w:rPr>
          <w:rFonts w:ascii="Times New Roman" w:hAnsi="Times New Roman" w:cs="Times New Roman"/>
          <w:sz w:val="22"/>
        </w:rPr>
      </w:pPr>
    </w:p>
    <w:p w:rsidR="00C66B57" w:rsidRDefault="00B77E3E" w:rsidP="00F2330D">
      <w:pPr>
        <w:spacing w:afterLines="100"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118745</wp:posOffset>
            </wp:positionH>
            <wp:positionV relativeFrom="paragraph">
              <wp:posOffset>284480</wp:posOffset>
            </wp:positionV>
            <wp:extent cx="4707934" cy="2855595"/>
            <wp:effectExtent l="0" t="0" r="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934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B57" w:rsidRPr="00700C35" w:rsidRDefault="00C66B57" w:rsidP="00F2330D">
      <w:pPr>
        <w:spacing w:afterLines="100" w:line="276" w:lineRule="auto"/>
        <w:jc w:val="left"/>
        <w:rPr>
          <w:rFonts w:ascii="Times New Roman" w:hAnsi="Times New Roman" w:cs="Times New Roman"/>
          <w:sz w:val="22"/>
        </w:rPr>
      </w:pPr>
    </w:p>
    <w:tbl>
      <w:tblPr>
        <w:tblStyle w:val="a9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4536"/>
      </w:tblGrid>
      <w:tr w:rsidR="00E84F52" w:rsidRPr="00700C35" w:rsidTr="00C66B57">
        <w:tc>
          <w:tcPr>
            <w:tcW w:w="4248" w:type="dxa"/>
          </w:tcPr>
          <w:p w:rsidR="00E84F52" w:rsidRPr="00700C35" w:rsidRDefault="00C11E7F" w:rsidP="00F2330D">
            <w:pPr>
              <w:spacing w:afterLines="1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Shanghai Municipal Financial Regulatory Bureau</w:t>
            </w:r>
          </w:p>
        </w:tc>
        <w:tc>
          <w:tcPr>
            <w:tcW w:w="4536" w:type="dxa"/>
          </w:tcPr>
          <w:p w:rsidR="00E84F52" w:rsidRPr="00700C35" w:rsidRDefault="00C11E7F" w:rsidP="00F2330D">
            <w:pPr>
              <w:spacing w:afterLines="1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Shanghai Municipal Market Regulatory Bureau</w:t>
            </w:r>
          </w:p>
        </w:tc>
      </w:tr>
      <w:tr w:rsidR="00E84F52" w:rsidRPr="00700C35" w:rsidTr="00C66B57">
        <w:tc>
          <w:tcPr>
            <w:tcW w:w="4248" w:type="dxa"/>
          </w:tcPr>
          <w:p w:rsidR="00E84F52" w:rsidRPr="00700C35" w:rsidRDefault="00E84F52" w:rsidP="00F2330D">
            <w:pPr>
              <w:spacing w:afterLines="1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6" w:type="dxa"/>
          </w:tcPr>
          <w:p w:rsidR="00E84F52" w:rsidRDefault="00E84F52" w:rsidP="00F2330D">
            <w:pPr>
              <w:spacing w:afterLines="1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00C35">
              <w:rPr>
                <w:rFonts w:ascii="Times New Roman" w:hAnsi="Times New Roman" w:cs="Times New Roman"/>
                <w:sz w:val="22"/>
              </w:rPr>
              <w:t>Shanghai Branch of the People’s Bank of China</w:t>
            </w:r>
          </w:p>
          <w:p w:rsidR="00C66B57" w:rsidRPr="00700C35" w:rsidRDefault="00C66B57" w:rsidP="00F2330D">
            <w:pPr>
              <w:spacing w:afterLines="10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00C35">
              <w:rPr>
                <w:rFonts w:ascii="Times New Roman" w:hAnsi="Times New Roman" w:cs="Times New Roman"/>
                <w:sz w:val="22"/>
              </w:rPr>
              <w:t>April 25, 2019</w:t>
            </w:r>
          </w:p>
        </w:tc>
      </w:tr>
    </w:tbl>
    <w:p w:rsidR="00E84F52" w:rsidRDefault="00E84F52" w:rsidP="00F2330D">
      <w:pPr>
        <w:spacing w:afterLines="100" w:line="276" w:lineRule="auto"/>
        <w:jc w:val="left"/>
        <w:rPr>
          <w:rFonts w:ascii="Times New Roman" w:hAnsi="Times New Roman" w:cs="Times New Roman"/>
          <w:sz w:val="22"/>
        </w:rPr>
      </w:pPr>
    </w:p>
    <w:p w:rsidR="00C66B57" w:rsidRDefault="00C66B57" w:rsidP="00F2330D">
      <w:pPr>
        <w:spacing w:afterLines="100" w:line="276" w:lineRule="auto"/>
        <w:jc w:val="left"/>
        <w:rPr>
          <w:rFonts w:ascii="Times New Roman" w:hAnsi="Times New Roman" w:cs="Times New Roman"/>
          <w:sz w:val="22"/>
        </w:rPr>
      </w:pPr>
    </w:p>
    <w:p w:rsidR="00C66B57" w:rsidRDefault="00C66B57" w:rsidP="00F2330D">
      <w:pPr>
        <w:spacing w:afterLines="100" w:line="276" w:lineRule="auto"/>
        <w:jc w:val="left"/>
        <w:rPr>
          <w:rFonts w:ascii="Times New Roman" w:hAnsi="Times New Roman" w:cs="Times New Roman"/>
          <w:sz w:val="22"/>
        </w:rPr>
      </w:pPr>
    </w:p>
    <w:p w:rsidR="00C66B57" w:rsidRPr="00700C35" w:rsidRDefault="00C66B57" w:rsidP="00F2330D">
      <w:pPr>
        <w:spacing w:afterLines="100" w:line="276" w:lineRule="auto"/>
        <w:jc w:val="left"/>
        <w:rPr>
          <w:rFonts w:ascii="Times New Roman" w:hAnsi="Times New Roman" w:cs="Times New Roman"/>
          <w:sz w:val="22"/>
        </w:rPr>
      </w:pPr>
    </w:p>
    <w:p w:rsidR="00E84F52" w:rsidRPr="00700C35" w:rsidRDefault="00E84F52" w:rsidP="00C4449F">
      <w:pPr>
        <w:spacing w:afterLines="100" w:line="276" w:lineRule="auto"/>
        <w:jc w:val="right"/>
        <w:rPr>
          <w:rFonts w:ascii="Times New Roman" w:hAnsi="Times New Roman" w:cs="Times New Roman"/>
          <w:sz w:val="22"/>
        </w:rPr>
      </w:pPr>
    </w:p>
    <w:sectPr w:rsidR="00E84F52" w:rsidRPr="00700C35" w:rsidSect="008D5C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E0" w:rsidRDefault="004800E0" w:rsidP="00A25F63">
      <w:r>
        <w:separator/>
      </w:r>
    </w:p>
  </w:endnote>
  <w:endnote w:type="continuationSeparator" w:id="1">
    <w:p w:rsidR="004800E0" w:rsidRDefault="004800E0" w:rsidP="00A2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593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C5999" w:rsidRPr="006C5999" w:rsidRDefault="00C4449F" w:rsidP="006C599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C59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C5999" w:rsidRPr="006C59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C59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330D" w:rsidRPr="00F2330D">
          <w:rPr>
            <w:rFonts w:ascii="Times New Roman" w:hAnsi="Times New Roman" w:cs="Times New Roman"/>
            <w:noProof/>
            <w:sz w:val="20"/>
            <w:szCs w:val="20"/>
            <w:lang w:val="zh-CN"/>
          </w:rPr>
          <w:t>1</w:t>
        </w:r>
        <w:r w:rsidRPr="006C59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E0" w:rsidRDefault="004800E0" w:rsidP="00A25F63">
      <w:r>
        <w:separator/>
      </w:r>
    </w:p>
  </w:footnote>
  <w:footnote w:type="continuationSeparator" w:id="1">
    <w:p w:rsidR="004800E0" w:rsidRDefault="004800E0" w:rsidP="00A25F6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bica">
    <w15:presenceInfo w15:providerId="None" w15:userId="Ubi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1E5"/>
    <w:rsid w:val="00014E9A"/>
    <w:rsid w:val="00025F6F"/>
    <w:rsid w:val="0008511D"/>
    <w:rsid w:val="00096D5C"/>
    <w:rsid w:val="000B583A"/>
    <w:rsid w:val="0014008B"/>
    <w:rsid w:val="001577DE"/>
    <w:rsid w:val="00164A82"/>
    <w:rsid w:val="00172B2B"/>
    <w:rsid w:val="001C51E0"/>
    <w:rsid w:val="002359DD"/>
    <w:rsid w:val="003021E4"/>
    <w:rsid w:val="00374183"/>
    <w:rsid w:val="003C3AC8"/>
    <w:rsid w:val="003C5DED"/>
    <w:rsid w:val="003D5AB3"/>
    <w:rsid w:val="003E5D36"/>
    <w:rsid w:val="00421829"/>
    <w:rsid w:val="0043335D"/>
    <w:rsid w:val="00440DCC"/>
    <w:rsid w:val="00470EF5"/>
    <w:rsid w:val="004800E0"/>
    <w:rsid w:val="004F2009"/>
    <w:rsid w:val="005560BB"/>
    <w:rsid w:val="0057082F"/>
    <w:rsid w:val="005E2B8E"/>
    <w:rsid w:val="00636630"/>
    <w:rsid w:val="006540EC"/>
    <w:rsid w:val="006C5999"/>
    <w:rsid w:val="00700C35"/>
    <w:rsid w:val="007A29DB"/>
    <w:rsid w:val="007A494E"/>
    <w:rsid w:val="008253E6"/>
    <w:rsid w:val="008507FA"/>
    <w:rsid w:val="008731E5"/>
    <w:rsid w:val="00877C61"/>
    <w:rsid w:val="008A31E0"/>
    <w:rsid w:val="008D5CBB"/>
    <w:rsid w:val="008F7654"/>
    <w:rsid w:val="009478F7"/>
    <w:rsid w:val="00956522"/>
    <w:rsid w:val="0096219A"/>
    <w:rsid w:val="00990CBD"/>
    <w:rsid w:val="00A25F63"/>
    <w:rsid w:val="00A41945"/>
    <w:rsid w:val="00A61F63"/>
    <w:rsid w:val="00AD20EB"/>
    <w:rsid w:val="00B2045F"/>
    <w:rsid w:val="00B2735B"/>
    <w:rsid w:val="00B37473"/>
    <w:rsid w:val="00B431C5"/>
    <w:rsid w:val="00B543C3"/>
    <w:rsid w:val="00B67D8F"/>
    <w:rsid w:val="00B77E3E"/>
    <w:rsid w:val="00BE384F"/>
    <w:rsid w:val="00BE4FB5"/>
    <w:rsid w:val="00BF12FF"/>
    <w:rsid w:val="00C016D9"/>
    <w:rsid w:val="00C11E7F"/>
    <w:rsid w:val="00C24B42"/>
    <w:rsid w:val="00C4449F"/>
    <w:rsid w:val="00C66B57"/>
    <w:rsid w:val="00C739C6"/>
    <w:rsid w:val="00CA5C1B"/>
    <w:rsid w:val="00D22687"/>
    <w:rsid w:val="00D626DC"/>
    <w:rsid w:val="00E84F52"/>
    <w:rsid w:val="00E965B2"/>
    <w:rsid w:val="00EC0B6C"/>
    <w:rsid w:val="00EC12A6"/>
    <w:rsid w:val="00EF46C2"/>
    <w:rsid w:val="00F11275"/>
    <w:rsid w:val="00F2330D"/>
    <w:rsid w:val="00F86B26"/>
    <w:rsid w:val="00F9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F6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25F6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25F6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25F63"/>
  </w:style>
  <w:style w:type="paragraph" w:styleId="a7">
    <w:name w:val="Balloon Text"/>
    <w:basedOn w:val="a"/>
    <w:link w:val="Char2"/>
    <w:uiPriority w:val="99"/>
    <w:semiHidden/>
    <w:unhideWhenUsed/>
    <w:rsid w:val="00A25F6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25F63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EC0B6C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EC0B6C"/>
    <w:rPr>
      <w:b/>
      <w:bCs/>
    </w:rPr>
  </w:style>
  <w:style w:type="table" w:styleId="a9">
    <w:name w:val="Table Grid"/>
    <w:basedOn w:val="a1"/>
    <w:uiPriority w:val="39"/>
    <w:rsid w:val="00E8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2019-04-29T07:27:00Z</cp:lastPrinted>
  <dcterms:created xsi:type="dcterms:W3CDTF">2019-04-28T10:06:00Z</dcterms:created>
  <dcterms:modified xsi:type="dcterms:W3CDTF">2019-05-07T01:31:00Z</dcterms:modified>
</cp:coreProperties>
</file>