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0" w:leftChars="0" w:firstLine="5040" w:firstLineChars="0"/>
        <w:jc w:val="left"/>
        <w:textAlignment w:val="auto"/>
        <w:rPr>
          <w:rFonts w:hint="eastAsia"/>
          <w:kern w:val="2"/>
          <w:szCs w:val="32"/>
          <w:lang w:eastAsia="zh-CN"/>
        </w:rPr>
      </w:pPr>
      <w:r>
        <w:rPr>
          <w:rFonts w:hint="eastAsia"/>
          <w:kern w:val="2"/>
          <w:szCs w:val="32"/>
          <w:lang w:eastAsia="zh-CN"/>
        </w:rPr>
        <w:t>办理结果：解决或采纳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left="0" w:leftChars="0" w:firstLine="5040" w:firstLineChars="0"/>
        <w:jc w:val="left"/>
        <w:textAlignment w:val="auto"/>
        <w:rPr>
          <w:rFonts w:hint="default"/>
          <w:kern w:val="2"/>
          <w:szCs w:val="32"/>
          <w:lang w:eastAsia="zh-CN"/>
        </w:rPr>
      </w:pPr>
      <w:r>
        <w:rPr>
          <w:rFonts w:hint="eastAsia"/>
          <w:kern w:val="2"/>
          <w:szCs w:val="32"/>
          <w:lang w:eastAsia="zh-CN"/>
        </w:rPr>
        <w:t>公开属性：主动公开</w:t>
      </w:r>
      <w:r>
        <w:rPr>
          <w:rFonts w:hint="eastAsia"/>
          <w:kern w:val="2"/>
          <w:szCs w:val="32"/>
          <w:lang w:val="en-US" w:eastAsia="zh-CN"/>
        </w:rPr>
        <w:t>·全文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left"/>
        <w:textAlignment w:val="auto"/>
        <w:rPr>
          <w:rFonts w:hint="eastAsia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284" w:right="340"/>
        <w:jc w:val="distribute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20" w:line="336" w:lineRule="auto"/>
        <w:jc w:val="center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462280</wp:posOffset>
                </wp:positionV>
                <wp:extent cx="5615940" cy="0"/>
                <wp:effectExtent l="0" t="9525" r="3810" b="952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6.4pt;height:0pt;width:442.2pt;z-index:251659264;mso-width-relative:page;mso-height-relative:page;" filled="f" stroked="t" coordsize="21600,21600" o:gfxdata="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WAAAAZHJzL1BLAQIUABQAAAAIAIdO4kAHLo/C1AAAAAYBAAAPAAAAAAAAAAEAIAAAADgA&#10;AABkcnMvZG93bnJldi54bWxQSwECFAAUAAAACACHTuJAL1OGL/cBAADlAwAADgAAAAAAAAABACAA&#10;AAA5AQAAZHJzL2Uyb0RvYy54bWxQSwUGAAAAAAYABgBZAQAAogUAAAAA&#10;">
                <v:fill on="f" focussize="0,0"/>
                <v:stroke weight="1.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提</w:t>
      </w:r>
      <w:r>
        <w:rPr>
          <w:rFonts w:hint="eastAsia"/>
          <w:kern w:val="2"/>
          <w:szCs w:val="32"/>
        </w:rPr>
        <w:t>〔20</w:t>
      </w:r>
      <w:r>
        <w:rPr>
          <w:rFonts w:hint="default"/>
          <w:kern w:val="2"/>
          <w:szCs w:val="32"/>
          <w:lang w:val="en"/>
        </w:rPr>
        <w:t>2</w:t>
      </w:r>
      <w:r>
        <w:rPr>
          <w:rFonts w:hint="eastAsia"/>
          <w:kern w:val="2"/>
          <w:szCs w:val="32"/>
          <w:lang w:val="en-US" w:eastAsia="zh-CN"/>
        </w:rPr>
        <w:t>6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-US"/>
        </w:rPr>
        <w:t>253</w:t>
      </w:r>
      <w:bookmarkStart w:id="0" w:name="_GoBack"/>
      <w:bookmarkEnd w:id="0"/>
      <w:r>
        <w:rPr>
          <w:rFonts w:hint="eastAsia"/>
          <w:kern w:val="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  <w:tab w:val="left" w:pos="5103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eastAsia="方正小标宋简体"/>
          <w:kern w:val="2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kern w:val="2"/>
          <w:sz w:val="44"/>
          <w:szCs w:val="44"/>
          <w:lang w:eastAsia="zh-CN"/>
        </w:rPr>
        <w:t>对市政协十四届四次会议</w:t>
      </w:r>
      <w:r>
        <w:rPr>
          <w:rFonts w:hint="eastAsia" w:ascii="方正小标宋简体" w:eastAsia="方正小标宋简体"/>
          <w:kern w:val="2"/>
          <w:sz w:val="44"/>
          <w:szCs w:val="44"/>
          <w:lang w:eastAsia="zh-CN"/>
        </w:rPr>
        <w:br w:type="textWrapping"/>
      </w:r>
      <w:r>
        <w:rPr>
          <w:rFonts w:hint="eastAsia" w:ascii="方正小标宋简体" w:eastAsia="方正小标宋简体"/>
          <w:kern w:val="2"/>
          <w:sz w:val="44"/>
          <w:szCs w:val="44"/>
          <w:lang w:eastAsia="zh-CN"/>
        </w:rPr>
        <w:t>第0953号提案的答复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金洪飞</w:t>
      </w:r>
      <w:r>
        <w:rPr>
          <w:rFonts w:hint="eastAsia" w:hAnsi="宋体"/>
          <w:kern w:val="2"/>
          <w:szCs w:val="30"/>
          <w:lang w:val="en-US" w:eastAsia="zh-CN"/>
        </w:rPr>
        <w:t>等</w:t>
      </w:r>
      <w:r>
        <w:rPr>
          <w:rFonts w:hint="eastAsia" w:hAnsi="宋体"/>
          <w:kern w:val="2"/>
          <w:szCs w:val="30"/>
        </w:rPr>
        <w:t>委员：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hAnsi="宋体"/>
          <w:kern w:val="2"/>
          <w:szCs w:val="30"/>
        </w:rPr>
        <w:t>你们提出的“关于清理本市空壳企业的提案”收悉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经研究，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现将办理情况答复如下：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黑体" w:hAnsi="黑体" w:eastAsia="黑体" w:cs="黑体"/>
          <w:kern w:val="2"/>
          <w:szCs w:val="30"/>
          <w:lang w:eastAsia="zh-CN"/>
        </w:rPr>
      </w:pPr>
      <w:r>
        <w:rPr>
          <w:rFonts w:hint="eastAsia" w:ascii="黑体" w:hAnsi="黑体" w:eastAsia="黑体" w:cs="黑体"/>
          <w:kern w:val="2"/>
          <w:szCs w:val="30"/>
        </w:rPr>
        <w:t>一、</w:t>
      </w:r>
      <w:r>
        <w:rPr>
          <w:rFonts w:hint="eastAsia" w:ascii="黑体" w:hAnsi="黑体" w:eastAsia="黑体" w:cs="黑体"/>
          <w:kern w:val="2"/>
          <w:szCs w:val="30"/>
          <w:lang w:eastAsia="zh-CN"/>
        </w:rPr>
        <w:t>前期</w:t>
      </w:r>
      <w:r>
        <w:rPr>
          <w:rFonts w:hint="eastAsia" w:ascii="黑体" w:hAnsi="黑体" w:eastAsia="黑体" w:cs="黑体"/>
          <w:kern w:val="2"/>
          <w:szCs w:val="30"/>
        </w:rPr>
        <w:t>工作</w:t>
      </w:r>
      <w:r>
        <w:rPr>
          <w:rFonts w:hint="eastAsia" w:ascii="黑体" w:hAnsi="黑体" w:eastAsia="黑体" w:cs="黑体"/>
          <w:kern w:val="2"/>
          <w:szCs w:val="30"/>
          <w:lang w:eastAsia="zh-CN"/>
        </w:rPr>
        <w:t>情况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楷体_GB2312" w:hAnsi="楷体_GB2312" w:eastAsia="楷体_GB2312" w:cs="楷体_GB2312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（一）强化开业环节实名认证，筑牢市场准入防线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我局自2024年1月1日起，全面上线运行新版登记注册实名验证系统。该系统依托上海“随申办”移动端及电子营业执照，综合运用人脸识别、实名手机信息、银行卡信息等多重验证方式，对自然人及经营主体进行精准身份核验，实现验证信息永久保存、可追溯调阅。该系统的有效运行，从源头上防范了虚假登记和身份冒用行为，为</w:t>
      </w:r>
      <w:r>
        <w:rPr>
          <w:rFonts w:hint="eastAsia" w:hAnsi="宋体"/>
          <w:kern w:val="2"/>
          <w:szCs w:val="30"/>
          <w:lang w:eastAsia="zh-CN"/>
        </w:rPr>
        <w:t>经营</w:t>
      </w:r>
      <w:r>
        <w:rPr>
          <w:rFonts w:hint="eastAsia" w:hAnsi="宋体"/>
          <w:kern w:val="2"/>
          <w:szCs w:val="30"/>
        </w:rPr>
        <w:t>主体准入环节的安全规范提供了坚实的技术保障。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楷体_GB2312" w:hAnsi="楷体_GB2312" w:eastAsia="楷体_GB2312" w:cs="楷体_GB2312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（二）深化注销“一件事”改革，提升企业退出便利度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近年来，我局持续优化企业注销服务，于2024年9月29日升级上线注销“一件事”平台。该平台通过“线上一窗采集、后台数据分送”模式，整合市场监管、税务、海关、人力资源社会保障、公安、银行、医保、公积金等多部门事项，实现企业一次申报、各部门并联办理</w:t>
      </w:r>
      <w:r>
        <w:rPr>
          <w:rFonts w:hint="eastAsia" w:hAnsi="宋体"/>
          <w:kern w:val="2"/>
          <w:szCs w:val="30"/>
          <w:lang w:eastAsia="zh-CN"/>
        </w:rPr>
        <w:t>，</w:t>
      </w:r>
      <w:r>
        <w:rPr>
          <w:rFonts w:hint="eastAsia" w:hAnsi="宋体"/>
          <w:kern w:val="2"/>
          <w:szCs w:val="30"/>
        </w:rPr>
        <w:t>率先实现营业执照与税务登记联动注销，符合条件的企业无需另行提交纸质清税证明，同步办结。平台还提供注销预检、智能分类、进度查询、结果反馈等全流程服务，有效破解了企业“多头跑、反复跑”的难题，降低</w:t>
      </w:r>
      <w:r>
        <w:rPr>
          <w:rFonts w:hint="eastAsia" w:hAnsi="宋体"/>
          <w:kern w:val="2"/>
          <w:szCs w:val="30"/>
          <w:lang w:eastAsia="zh-CN"/>
        </w:rPr>
        <w:t>经营</w:t>
      </w:r>
      <w:r>
        <w:rPr>
          <w:rFonts w:hint="eastAsia" w:hAnsi="宋体"/>
          <w:kern w:val="2"/>
          <w:szCs w:val="30"/>
        </w:rPr>
        <w:t>主体制度性退出成本。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黑体" w:hAnsi="黑体" w:eastAsia="黑体" w:cs="黑体"/>
          <w:kern w:val="2"/>
          <w:szCs w:val="30"/>
        </w:rPr>
      </w:pPr>
      <w:r>
        <w:rPr>
          <w:rFonts w:hint="eastAsia" w:ascii="黑体" w:hAnsi="黑体" w:eastAsia="黑体" w:cs="黑体"/>
          <w:kern w:val="2"/>
          <w:szCs w:val="30"/>
        </w:rPr>
        <w:t>二、下一步工作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楷体_GB2312" w:hAnsi="楷体_GB2312" w:eastAsia="楷体_GB2312" w:cs="楷体_GB2312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（一）坚持依法规范登记，严把市场准入关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</w:rPr>
        <w:t>我局将始终坚持依法履行</w:t>
      </w:r>
      <w:r>
        <w:rPr>
          <w:rFonts w:hint="eastAsia" w:hAnsi="宋体"/>
          <w:kern w:val="2"/>
          <w:szCs w:val="30"/>
          <w:lang w:eastAsia="zh-CN"/>
        </w:rPr>
        <w:t>经营</w:t>
      </w:r>
      <w:r>
        <w:rPr>
          <w:rFonts w:hint="eastAsia" w:hAnsi="宋体"/>
          <w:kern w:val="2"/>
          <w:szCs w:val="30"/>
        </w:rPr>
        <w:t>主体登记职责，认真执行法律法规及市场监管总局有关规定，确保每一户企业“出生”</w:t>
      </w:r>
      <w:r>
        <w:rPr>
          <w:rFonts w:hint="eastAsia" w:hAnsi="宋体"/>
          <w:kern w:val="2"/>
          <w:szCs w:val="30"/>
          <w:lang w:eastAsia="zh-CN"/>
        </w:rPr>
        <w:t>便捷</w:t>
      </w:r>
      <w:r>
        <w:rPr>
          <w:rFonts w:hint="eastAsia" w:hAnsi="宋体"/>
          <w:kern w:val="2"/>
          <w:szCs w:val="30"/>
        </w:rPr>
        <w:t>，“退出”有序。同时，</w:t>
      </w:r>
      <w:r>
        <w:rPr>
          <w:rFonts w:hint="eastAsia" w:hAnsi="宋体"/>
          <w:kern w:val="2"/>
          <w:szCs w:val="30"/>
          <w:lang w:eastAsia="zh-CN"/>
        </w:rPr>
        <w:t>我局将梳理评估前期改革创新举措，不断修正完善，提升登记注册服务质效。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楷体_GB2312" w:hAnsi="楷体_GB2312" w:eastAsia="楷体_GB2312" w:cs="楷体_GB2312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（二）深化信息共享协同，提升智慧监管能力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一是依托本市大数据资源平台和“互联网</w:t>
      </w:r>
      <w:r>
        <w:rPr>
          <w:rFonts w:hint="eastAsia" w:hAnsi="宋体"/>
          <w:kern w:val="2"/>
          <w:szCs w:val="30"/>
          <w:lang w:eastAsia="zh-CN"/>
        </w:rPr>
        <w:t>＋</w:t>
      </w:r>
      <w:r>
        <w:rPr>
          <w:rFonts w:hint="eastAsia" w:hAnsi="宋体"/>
          <w:kern w:val="2"/>
          <w:szCs w:val="30"/>
        </w:rPr>
        <w:t>监管”系统，加快归集税务纳税、社保缴纳、银行流水、刑事判决等数据</w:t>
      </w:r>
      <w:r>
        <w:rPr>
          <w:rFonts w:hint="eastAsia" w:hAnsi="宋体"/>
          <w:kern w:val="2"/>
          <w:szCs w:val="30"/>
          <w:lang w:eastAsia="zh-CN"/>
        </w:rPr>
        <w:t>信息</w:t>
      </w:r>
      <w:r>
        <w:rPr>
          <w:rFonts w:hint="eastAsia" w:hAnsi="宋体"/>
          <w:kern w:val="2"/>
          <w:szCs w:val="30"/>
        </w:rPr>
        <w:t>，实现跨部门、跨层级信息实时共享与互认。二是依托全市统一数据共享平台，推动空壳企业强制注销信息在税务、人社等部门间共享，并同步推送至登记系统。三是持续优化系统功能，对长期未经营企业吊照、</w:t>
      </w:r>
      <w:r>
        <w:rPr>
          <w:rFonts w:hint="eastAsia" w:hAnsi="宋体"/>
          <w:kern w:val="2"/>
          <w:szCs w:val="30"/>
          <w:lang w:eastAsia="zh-CN"/>
        </w:rPr>
        <w:t>疑似</w:t>
      </w:r>
      <w:r>
        <w:rPr>
          <w:rFonts w:hint="eastAsia" w:hAnsi="宋体"/>
          <w:kern w:val="2"/>
          <w:szCs w:val="30"/>
        </w:rPr>
        <w:t>空壳企业标注、拟强制注销等功能进行运行评估与迭代升级，为精准识别、分类处置空壳企业提供数据底盘和系统支撑。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楷体_GB2312" w:hAnsi="楷体_GB2312" w:eastAsia="楷体_GB2312" w:cs="楷体_GB2312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（三）坚持打击宣传并举，营造合规经营氛围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在打击层面，对利用空壳企业从事虚开发票、洗钱、骗贷等违法犯罪行为，始终保持高压态势。依托与公安、税务等部门建立的“跨部门综合监管”及行刑衔接机制，开展联合执法，及时移送线索，依法从严惩处，形成强大震慑。在宣传层面，借鉴公安部门经验，依托市区两级“蓝鲸”护企工作站等载体，选配专业人员开展合规经营宣传与法律咨询，通过案例警示、政策宣讲等方式，提升企业法律风险</w:t>
      </w:r>
      <w:r>
        <w:rPr>
          <w:rFonts w:hint="eastAsia" w:hAnsi="宋体"/>
          <w:kern w:val="2"/>
          <w:szCs w:val="30"/>
          <w:lang w:eastAsia="zh-CN"/>
        </w:rPr>
        <w:t>意识</w:t>
      </w:r>
      <w:r>
        <w:rPr>
          <w:rFonts w:hint="eastAsia" w:hAnsi="宋体"/>
          <w:kern w:val="2"/>
          <w:szCs w:val="30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ascii="楷体_GB2312" w:hAnsi="楷体_GB2312" w:eastAsia="楷体_GB2312" w:cs="楷体_GB2312"/>
          <w:kern w:val="2"/>
          <w:szCs w:val="30"/>
        </w:rPr>
      </w:pPr>
      <w:r>
        <w:rPr>
          <w:rFonts w:hint="eastAsia" w:ascii="楷体_GB2312" w:hAnsi="楷体_GB2312" w:eastAsia="楷体_GB2312" w:cs="楷体_GB2312"/>
          <w:kern w:val="2"/>
          <w:szCs w:val="30"/>
        </w:rPr>
        <w:t>（四）完善信用惩戒机制，强化市场约束力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积极配合信用管理部门，研究完善对长期未注销企业的信用监管措施。一是依法依规实施联合惩戒，如限制高消费、融资贷款等，提高违法失信成本。二是强化信用约束的公示与引导作用，形成“一处失信、处处受限”的市场环境，倒逼</w:t>
      </w:r>
      <w:r>
        <w:rPr>
          <w:rFonts w:hint="eastAsia" w:hAnsi="宋体"/>
          <w:kern w:val="2"/>
          <w:szCs w:val="30"/>
          <w:lang w:eastAsia="zh-CN"/>
        </w:rPr>
        <w:t>经营</w:t>
      </w:r>
      <w:r>
        <w:rPr>
          <w:rFonts w:hint="eastAsia" w:hAnsi="宋体"/>
          <w:kern w:val="2"/>
          <w:szCs w:val="30"/>
        </w:rPr>
        <w:t>主体自觉履行法定义务。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right="941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</w:t>
      </w:r>
      <w:r>
        <w:rPr>
          <w:rFonts w:hint="eastAsia"/>
          <w:kern w:val="2"/>
          <w:szCs w:val="32"/>
          <w:lang w:val="en-US" w:eastAsia="zh-CN"/>
        </w:rPr>
        <w:t>26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12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180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141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textAlignment w:val="auto"/>
        <w:rPr>
          <w:rFonts w:hint="eastAsia"/>
          <w:kern w:val="2"/>
          <w:sz w:val="28"/>
          <w:szCs w:val="28"/>
          <w:lang w:val="en-US" w:eastAsia="zh-CN"/>
        </w:rPr>
      </w:pPr>
      <w:r>
        <w:rPr>
          <w:rFonts w:hint="eastAsia"/>
          <w:kern w:val="2"/>
          <w:sz w:val="28"/>
          <w:szCs w:val="28"/>
        </w:rPr>
        <w:t>联系人姓名：</w:t>
      </w:r>
      <w:r>
        <w:rPr>
          <w:rFonts w:hint="eastAsia"/>
          <w:kern w:val="2"/>
          <w:sz w:val="28"/>
          <w:szCs w:val="28"/>
          <w:lang w:eastAsia="zh-CN"/>
        </w:rPr>
        <w:t>杨洁</w:t>
      </w:r>
      <w:r>
        <w:rPr>
          <w:rFonts w:hint="eastAsia"/>
          <w:kern w:val="2"/>
          <w:sz w:val="28"/>
          <w:szCs w:val="28"/>
          <w:lang w:val="en-US" w:eastAsia="zh-CN"/>
        </w:rPr>
        <w:t xml:space="preserve"> </w:t>
      </w:r>
      <w:r>
        <w:rPr>
          <w:rFonts w:hint="eastAsia"/>
          <w:kern w:val="2"/>
          <w:sz w:val="28"/>
          <w:szCs w:val="28"/>
        </w:rPr>
        <w:t xml:space="preserve"> </w:t>
      </w:r>
      <w:r>
        <w:rPr>
          <w:rFonts w:hint="eastAsia"/>
          <w:kern w:val="2"/>
          <w:sz w:val="28"/>
          <w:szCs w:val="28"/>
          <w:lang w:val="en-US" w:eastAsia="zh-CN"/>
        </w:rPr>
        <w:t xml:space="preserve">     　　　　      </w:t>
      </w:r>
      <w:r>
        <w:rPr>
          <w:rFonts w:hint="eastAsia"/>
          <w:kern w:val="2"/>
          <w:sz w:val="28"/>
          <w:szCs w:val="28"/>
        </w:rPr>
        <w:t>联系电话：64220000×</w:t>
      </w:r>
      <w:r>
        <w:rPr>
          <w:rFonts w:hint="eastAsia"/>
          <w:kern w:val="2"/>
          <w:sz w:val="28"/>
          <w:szCs w:val="28"/>
          <w:lang w:val="en-US" w:eastAsia="zh-CN"/>
        </w:rPr>
        <w:t>5351</w:t>
      </w:r>
    </w:p>
    <w:p>
      <w:pPr>
        <w:keepNext w:val="0"/>
        <w:keepLines w:val="0"/>
        <w:pageBreakBefore w:val="0"/>
        <w:widowControl w:val="0"/>
        <w:tabs>
          <w:tab w:val="left" w:pos="141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22" w:lineRule="auto"/>
        <w:textAlignment w:val="auto"/>
        <w:rPr>
          <w:rFonts w:hint="eastAsia"/>
          <w:kern w:val="2"/>
          <w:sz w:val="28"/>
          <w:szCs w:val="28"/>
          <w:lang w:eastAsia="zh-CN"/>
        </w:rPr>
      </w:pPr>
      <w:r>
        <w:rPr>
          <w:rFonts w:hint="eastAsia"/>
          <w:spacing w:val="48"/>
          <w:kern w:val="2"/>
          <w:sz w:val="28"/>
          <w:szCs w:val="28"/>
        </w:rPr>
        <w:t>联系</w:t>
      </w:r>
      <w:r>
        <w:rPr>
          <w:spacing w:val="48"/>
          <w:kern w:val="2"/>
          <w:sz w:val="28"/>
          <w:szCs w:val="28"/>
        </w:rPr>
        <w:t>地</w:t>
      </w:r>
      <w:r>
        <w:rPr>
          <w:kern w:val="2"/>
          <w:sz w:val="28"/>
          <w:szCs w:val="28"/>
        </w:rPr>
        <w:t>址：</w:t>
      </w:r>
      <w:r>
        <w:rPr>
          <w:rFonts w:hint="eastAsia"/>
          <w:kern w:val="2"/>
          <w:sz w:val="28"/>
          <w:szCs w:val="28"/>
        </w:rPr>
        <w:t>肇嘉浜路301号</w:t>
      </w:r>
      <w:r>
        <w:rPr>
          <w:kern w:val="2"/>
          <w:sz w:val="28"/>
          <w:szCs w:val="28"/>
        </w:rPr>
        <w:t xml:space="preserve">   </w:t>
      </w:r>
      <w:r>
        <w:rPr>
          <w:rFonts w:hint="eastAsia"/>
          <w:kern w:val="2"/>
          <w:sz w:val="28"/>
          <w:szCs w:val="28"/>
        </w:rPr>
        <w:t xml:space="preserve">        </w:t>
      </w:r>
      <w:r>
        <w:rPr>
          <w:kern w:val="2"/>
          <w:sz w:val="28"/>
          <w:szCs w:val="28"/>
        </w:rPr>
        <w:t>邮政编码：</w:t>
      </w:r>
      <w:r>
        <w:rPr>
          <w:rFonts w:hint="eastAsia"/>
          <w:kern w:val="2"/>
          <w:sz w:val="28"/>
          <w:szCs w:val="28"/>
        </w:rPr>
        <w:t>200032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417" w:gutter="0"/>
      <w:pgNumType w:fmt="decimal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right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eepNext w:val="0"/>
      <w:keepLines w:val="0"/>
      <w:pageBreakBefore w:val="0"/>
      <w:widowControl w:val="0"/>
      <w:kinsoku/>
      <w:wordWrap/>
      <w:overflowPunct w:val="0"/>
      <w:topLinePunct w:val="0"/>
      <w:autoSpaceDE/>
      <w:autoSpaceDN/>
      <w:bidi w:val="0"/>
      <w:snapToGrid w:val="0"/>
      <w:ind w:left="312" w:right="312"/>
      <w:jc w:val="both"/>
      <w:textAlignment w:val="auto"/>
      <w:rPr>
        <w:rFonts w:hint="eastAsia" w:ascii="宋体" w:hAnsi="宋体" w:eastAsia="宋体"/>
        <w:kern w:val="2"/>
        <w:sz w:val="28"/>
        <w:szCs w:val="28"/>
      </w:rPr>
    </w:pPr>
    <w:r>
      <w:rPr>
        <w:rFonts w:hint="eastAsia" w:ascii="宋体" w:hAnsi="宋体" w:eastAsia="宋体"/>
        <w:kern w:val="2"/>
        <w:sz w:val="28"/>
        <w:szCs w:val="28"/>
      </w:rPr>
      <w:t xml:space="preserve">— </w:t>
    </w:r>
    <w:r>
      <w:rPr>
        <w:rFonts w:hint="eastAsia" w:ascii="宋体" w:hAnsi="宋体" w:eastAsia="宋体"/>
        <w:kern w:val="2"/>
        <w:sz w:val="28"/>
        <w:szCs w:val="28"/>
      </w:rPr>
      <w:fldChar w:fldCharType="begin"/>
    </w:r>
    <w:r>
      <w:rPr>
        <w:rFonts w:hint="eastAsia" w:ascii="宋体" w:hAnsi="宋体" w:eastAsia="宋体"/>
        <w:kern w:val="2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2"/>
        <w:sz w:val="28"/>
        <w:szCs w:val="28"/>
      </w:rPr>
      <w:fldChar w:fldCharType="separate"/>
    </w:r>
    <w:r>
      <w:rPr>
        <w:rFonts w:hint="eastAsia" w:ascii="宋体" w:hAnsi="宋体" w:eastAsia="宋体"/>
        <w:kern w:val="2"/>
        <w:sz w:val="28"/>
        <w:szCs w:val="28"/>
      </w:rPr>
      <w:t>1</w:t>
    </w:r>
    <w:r>
      <w:rPr>
        <w:rFonts w:hint="eastAsia" w:ascii="宋体" w:hAnsi="宋体" w:eastAsia="宋体"/>
        <w:kern w:val="2"/>
        <w:sz w:val="28"/>
        <w:szCs w:val="28"/>
      </w:rPr>
      <w:fldChar w:fldCharType="end"/>
    </w:r>
    <w:r>
      <w:rPr>
        <w:rFonts w:hint="eastAsia" w:ascii="宋体" w:hAnsi="宋体" w:eastAsia="宋体"/>
        <w:kern w:val="2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99BAB"/>
    <w:rsid w:val="5FBFE9D6"/>
    <w:rsid w:val="6D8DE197"/>
    <w:rsid w:val="6EFAB3F7"/>
    <w:rsid w:val="7DB42D7F"/>
    <w:rsid w:val="7FF99BAB"/>
    <w:rsid w:val="7FFFAD98"/>
    <w:rsid w:val="D9FF0070"/>
    <w:rsid w:val="DF993458"/>
    <w:rsid w:val="E9DB3FB7"/>
    <w:rsid w:val="F26DD248"/>
    <w:rsid w:val="FFF7E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2026-04-15T14:43:00Z</dcterms:created>
  <dc:creator>木易三吉</dc:creator>
  <cp:lastModifiedBy>scjuser</cp:lastModifiedBy>
  <cp:lastPrinted>2026-04-29T21:49:00Z</cp:lastPrinted>
  <dcterms:modified xsi:type="dcterms:W3CDTF">2026-05-12T16:57:09Z</dcterms:modified>
  <dc:title>办理结果：解决或采纳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2052-11.8.2.12125</vt:lpwstr>
  </property>
  <property fmtid="{D5CDD505-2E9C-101B-9397-08002B2CF9AE}" pid="3" name="ICV">
    <vt:lpwstr>4329D405EF5693BA65EB026AD281174D</vt:lpwstr>
  </property>
</Properties>
</file>