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Times New Roman" w:hAnsi="Times New Roman" w:eastAsia="华文中宋"/>
          <w:sz w:val="36"/>
          <w:szCs w:val="36"/>
        </w:rPr>
        <w:t>202</w:t>
      </w:r>
      <w:r>
        <w:rPr>
          <w:rFonts w:hint="eastAsia" w:ascii="Times New Roman" w:hAnsi="Times New Roman" w:eastAsia="华文中宋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36"/>
          <w:szCs w:val="36"/>
        </w:rPr>
        <w:t>年度行政事业性国有资产报表填报说明提纲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（行政事业单位参考格式）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楷体" w:eastAsia="仿宋_GB2312" w:cs="楷体"/>
          <w:sz w:val="32"/>
          <w:szCs w:val="32"/>
        </w:rPr>
      </w:pP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数据填报口径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本单位为执行</w:t>
      </w:r>
      <w:r>
        <w:rPr>
          <w:rFonts w:hint="default" w:ascii="Times New Roman" w:hAnsi="Times New Roman" w:cs="Times New Roman"/>
          <w:sz w:val="32"/>
          <w:szCs w:val="32"/>
        </w:rPr>
        <w:t>XX财务会计制度的XX（单</w:t>
      </w:r>
      <w:r>
        <w:rPr>
          <w:rFonts w:hint="eastAsia" w:hAnsi="仿宋"/>
          <w:sz w:val="32"/>
          <w:szCs w:val="32"/>
        </w:rPr>
        <w:t>位</w:t>
      </w:r>
      <w:r>
        <w:rPr>
          <w:rFonts w:hAnsi="仿宋"/>
          <w:sz w:val="32"/>
          <w:szCs w:val="32"/>
        </w:rPr>
        <w:t>性质）</w:t>
      </w:r>
      <w:r>
        <w:rPr>
          <w:rFonts w:hint="eastAsia" w:hAnsi="仿宋"/>
          <w:sz w:val="32"/>
          <w:szCs w:val="32"/>
        </w:rPr>
        <w:t>单位</w:t>
      </w:r>
      <w:r>
        <w:rPr>
          <w:rFonts w:hAnsi="仿宋"/>
          <w:sz w:val="32"/>
          <w:szCs w:val="32"/>
        </w:rPr>
        <w:t>，</w:t>
      </w:r>
      <w:r>
        <w:rPr>
          <w:rFonts w:hint="eastAsia" w:hAnsi="仿宋"/>
          <w:sz w:val="32"/>
          <w:szCs w:val="32"/>
        </w:rPr>
        <w:t>本单位</w:t>
      </w:r>
      <w:r>
        <w:rPr>
          <w:rFonts w:hAnsi="仿宋"/>
          <w:sz w:val="32"/>
          <w:szCs w:val="32"/>
        </w:rPr>
        <w:t>已纳入</w:t>
      </w:r>
      <w:r>
        <w:rPr>
          <w:rFonts w:hint="eastAsia" w:hAnsi="仿宋"/>
          <w:sz w:val="32"/>
          <w:szCs w:val="32"/>
        </w:rPr>
        <w:t>/未纳入政府</w:t>
      </w:r>
      <w:r>
        <w:rPr>
          <w:rFonts w:hAnsi="仿宋"/>
          <w:sz w:val="32"/>
          <w:szCs w:val="32"/>
        </w:rPr>
        <w:t>部门财务报告</w:t>
      </w:r>
      <w:r>
        <w:rPr>
          <w:rFonts w:hint="eastAsia" w:hAnsi="仿宋"/>
          <w:sz w:val="32"/>
          <w:szCs w:val="32"/>
        </w:rPr>
        <w:t>和</w:t>
      </w:r>
      <w:r>
        <w:rPr>
          <w:rFonts w:hAnsi="仿宋"/>
          <w:sz w:val="32"/>
          <w:szCs w:val="32"/>
        </w:rPr>
        <w:t>部门决算报告</w:t>
      </w:r>
      <w:r>
        <w:rPr>
          <w:rFonts w:hint="eastAsia" w:hAnsi="仿宋"/>
          <w:sz w:val="32"/>
          <w:szCs w:val="32"/>
        </w:rPr>
        <w:t>填报</w:t>
      </w:r>
      <w:r>
        <w:rPr>
          <w:rFonts w:hAnsi="仿宋"/>
          <w:sz w:val="32"/>
          <w:szCs w:val="32"/>
        </w:rPr>
        <w:t>范围。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二、数据审核情况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4" w:firstLineChars="132"/>
        <w:textAlignment w:val="auto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（一）审核情况。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1.核实性审核。本单位全表审核后核实性问题提示共XX类，共计XX条。详细列举并说明主要原因。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2.基础数据审核。本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cs="Times New Roman"/>
          <w:sz w:val="32"/>
          <w:szCs w:val="32"/>
        </w:rPr>
        <w:t>资产数据与上年对比，增减超过20%且≥±100万元的，说明主要原因。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3.与政府部门财务报告对比审核。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hAnsi="仿宋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.与部门决算对比审核。请</w:t>
      </w:r>
      <w:r>
        <w:rPr>
          <w:rFonts w:hint="eastAsia" w:hAnsi="仿宋"/>
          <w:sz w:val="32"/>
          <w:szCs w:val="32"/>
        </w:rPr>
        <w:t>列表对</w:t>
      </w:r>
      <w:r>
        <w:rPr>
          <w:rFonts w:hint="eastAsia" w:hAnsi="仿宋"/>
          <w:sz w:val="32"/>
          <w:szCs w:val="32"/>
          <w:lang w:eastAsia="zh-CN"/>
        </w:rPr>
        <w:t>本</w:t>
      </w:r>
      <w:r>
        <w:rPr>
          <w:rFonts w:hint="eastAsia" w:hAnsi="仿宋"/>
          <w:sz w:val="32"/>
          <w:szCs w:val="32"/>
        </w:rPr>
        <w:t>单位资产年报与部门决算报表（附表</w:t>
      </w:r>
      <w:r>
        <w:rPr>
          <w:rFonts w:hAnsi="仿宋"/>
          <w:sz w:val="32"/>
          <w:szCs w:val="32"/>
        </w:rPr>
        <w:t>：</w:t>
      </w:r>
      <w:r>
        <w:rPr>
          <w:rFonts w:hint="eastAsia" w:hAnsi="仿宋"/>
          <w:sz w:val="32"/>
          <w:szCs w:val="32"/>
        </w:rPr>
        <w:t>《预算支出</w:t>
      </w:r>
      <w:r>
        <w:rPr>
          <w:rFonts w:hAnsi="仿宋"/>
          <w:sz w:val="32"/>
          <w:szCs w:val="32"/>
        </w:rPr>
        <w:t>相关信息表》</w:t>
      </w:r>
      <w:r>
        <w:rPr>
          <w:rFonts w:hint="eastAsia" w:hAnsi="仿宋"/>
          <w:sz w:val="32"/>
          <w:szCs w:val="32"/>
        </w:rPr>
        <w:t>《机构</w:t>
      </w:r>
      <w:r>
        <w:rPr>
          <w:rFonts w:hAnsi="仿宋"/>
          <w:sz w:val="32"/>
          <w:szCs w:val="32"/>
        </w:rPr>
        <w:t>运行信息表》）中的</w:t>
      </w:r>
      <w:r>
        <w:rPr>
          <w:rFonts w:hint="eastAsia" w:hAnsi="Calibri"/>
          <w:color w:val="000000" w:themeColor="text1"/>
          <w:kern w:val="2"/>
          <w:sz w:val="32"/>
          <w:szCs w:val="32"/>
        </w:rPr>
        <w:t>房屋、车辆、单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</w:rPr>
        <w:t>价100</w:t>
      </w:r>
      <w:r>
        <w:rPr>
          <w:rFonts w:hint="eastAsia" w:hAnsi="Calibri"/>
          <w:color w:val="000000" w:themeColor="text1"/>
          <w:kern w:val="2"/>
          <w:sz w:val="32"/>
          <w:szCs w:val="32"/>
        </w:rPr>
        <w:t>万元（含）以上的设备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</w:rPr>
        <w:t>（不含车辆）</w:t>
      </w:r>
      <w:r>
        <w:rPr>
          <w:rFonts w:hAnsi="仿宋"/>
          <w:sz w:val="32"/>
          <w:szCs w:val="32"/>
        </w:rPr>
        <w:t>等重要资产</w:t>
      </w:r>
      <w:r>
        <w:rPr>
          <w:rFonts w:hint="eastAsia" w:hAnsi="仿宋"/>
          <w:sz w:val="32"/>
          <w:szCs w:val="32"/>
        </w:rPr>
        <w:t>数据进行对比</w:t>
      </w:r>
      <w:r>
        <w:rPr>
          <w:rFonts w:hAnsi="仿宋"/>
          <w:sz w:val="32"/>
          <w:szCs w:val="32"/>
        </w:rPr>
        <w:t>，如存在差异，请</w:t>
      </w:r>
      <w:r>
        <w:rPr>
          <w:rFonts w:hint="eastAsia" w:hAnsi="仿宋"/>
          <w:sz w:val="32"/>
          <w:szCs w:val="32"/>
        </w:rPr>
        <w:t>详细分析差异产生的原因。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hAnsi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hAnsi="仿宋"/>
          <w:sz w:val="32"/>
          <w:szCs w:val="32"/>
        </w:rPr>
      </w:pPr>
      <w:bookmarkStart w:id="0" w:name="_GoBack"/>
      <w:bookmarkEnd w:id="0"/>
    </w:p>
    <w:tbl>
      <w:tblPr>
        <w:tblStyle w:val="9"/>
        <w:tblW w:w="10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26"/>
        <w:gridCol w:w="1276"/>
        <w:gridCol w:w="1276"/>
        <w:gridCol w:w="1276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对比指标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资产</w:t>
            </w:r>
            <w:r>
              <w:rPr>
                <w:rFonts w:hAnsi="仿宋"/>
                <w:szCs w:val="28"/>
              </w:rPr>
              <w:t>年</w:t>
            </w:r>
            <w:r>
              <w:rPr>
                <w:rFonts w:hint="eastAsia" w:hAnsi="仿宋"/>
                <w:szCs w:val="28"/>
              </w:rPr>
              <w:t>报</w:t>
            </w:r>
            <w:r>
              <w:rPr>
                <w:rFonts w:hAnsi="仿宋"/>
                <w:szCs w:val="28"/>
              </w:rPr>
              <w:t>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部门</w:t>
            </w:r>
            <w:r>
              <w:rPr>
                <w:rFonts w:hAnsi="仿宋"/>
                <w:szCs w:val="28"/>
              </w:rPr>
              <w:t>决算</w:t>
            </w:r>
            <w:r>
              <w:rPr>
                <w:rFonts w:hint="eastAsia" w:hAnsi="仿宋"/>
                <w:szCs w:val="28"/>
              </w:rPr>
              <w:t>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差异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户数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差异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Ansi="仿宋"/>
                <w:szCs w:val="2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金额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（万元</w:t>
            </w:r>
            <w:r>
              <w:rPr>
                <w:rFonts w:hAnsi="仿宋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金额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（万元</w:t>
            </w:r>
            <w:r>
              <w:rPr>
                <w:rFonts w:hAnsi="仿宋"/>
                <w:szCs w:val="28"/>
              </w:rPr>
              <w:t>）</w:t>
            </w:r>
          </w:p>
        </w:tc>
        <w:tc>
          <w:tcPr>
            <w:tcW w:w="127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房屋（平方米</w:t>
            </w:r>
            <w:r>
              <w:rPr>
                <w:rFonts w:hAnsi="仿宋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车辆（台</w:t>
            </w:r>
            <w:r>
              <w:rPr>
                <w:rFonts w:hAnsi="仿宋"/>
                <w:szCs w:val="28"/>
              </w:rPr>
              <w:t>、辆）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Calibri"/>
                <w:color w:val="000000" w:themeColor="text1"/>
                <w:kern w:val="2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32"/>
                <w:szCs w:val="32"/>
              </w:rPr>
              <w:t>价100</w:t>
            </w:r>
            <w:r>
              <w:rPr>
                <w:rFonts w:hint="eastAsia" w:hAnsi="Calibri"/>
                <w:color w:val="000000" w:themeColor="text1"/>
                <w:kern w:val="2"/>
                <w:sz w:val="32"/>
                <w:szCs w:val="32"/>
              </w:rPr>
              <w:t>万元（含）以上的设备</w:t>
            </w:r>
            <w:r>
              <w:rPr>
                <w:rFonts w:hint="eastAsia" w:hAnsi="Calibri"/>
                <w:color w:val="000000" w:themeColor="text1"/>
                <w:kern w:val="2"/>
                <w:sz w:val="32"/>
                <w:szCs w:val="32"/>
                <w:lang w:eastAsia="zh-CN"/>
              </w:rPr>
              <w:t>（不含车辆）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（二）对报表指标、审核公式和分析表的设置建议。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1.对报表指标设置的建议。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2.如有不适用的审核公式，请列出并说明修改意见。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其他说明情况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华文中宋"/>
          <w:sz w:val="36"/>
          <w:szCs w:val="36"/>
        </w:rPr>
        <w:sectPr>
          <w:footerReference r:id="rId3" w:type="default"/>
          <w:pgSz w:w="11906" w:h="16838"/>
          <w:pgMar w:top="1440" w:right="1576" w:bottom="1440" w:left="1576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Times New Roman" w:hAnsi="Times New Roman" w:eastAsia="华文中宋"/>
          <w:sz w:val="36"/>
          <w:szCs w:val="36"/>
        </w:rPr>
        <w:t>202</w:t>
      </w:r>
      <w:r>
        <w:rPr>
          <w:rFonts w:hint="eastAsia" w:ascii="Times New Roman" w:hAnsi="Times New Roman" w:eastAsia="华文中宋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华文中宋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sz w:val="36"/>
          <w:szCs w:val="36"/>
        </w:rPr>
        <w:t>度行政事业性国有资产报表填报说明提纲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（</w:t>
      </w:r>
      <w:r>
        <w:rPr>
          <w:rFonts w:hint="eastAsia" w:ascii="仿宋_GB2312" w:hAnsi="楷体" w:eastAsia="仿宋_GB2312" w:cs="楷体"/>
          <w:sz w:val="32"/>
          <w:szCs w:val="32"/>
          <w:lang w:eastAsia="zh-CN"/>
        </w:rPr>
        <w:t>各区</w:t>
      </w:r>
      <w:r>
        <w:rPr>
          <w:rFonts w:hint="eastAsia" w:ascii="仿宋_GB2312" w:hAnsi="楷体" w:eastAsia="仿宋_GB2312" w:cs="楷体"/>
          <w:sz w:val="32"/>
          <w:szCs w:val="32"/>
        </w:rPr>
        <w:t>财政</w:t>
      </w:r>
      <w:r>
        <w:rPr>
          <w:rFonts w:hint="eastAsia" w:ascii="仿宋_GB2312" w:hAnsi="楷体" w:eastAsia="仿宋_GB2312" w:cs="楷体"/>
          <w:sz w:val="32"/>
          <w:szCs w:val="32"/>
          <w:lang w:eastAsia="zh-CN"/>
        </w:rPr>
        <w:t>局</w:t>
      </w:r>
      <w:r>
        <w:rPr>
          <w:rFonts w:hint="eastAsia" w:ascii="仿宋_GB2312" w:hAnsi="楷体" w:eastAsia="仿宋_GB2312" w:cs="楷体"/>
          <w:sz w:val="32"/>
          <w:szCs w:val="32"/>
        </w:rPr>
        <w:t>/主管部门参考格式）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楷体" w:eastAsia="仿宋_GB2312" w:cs="楷体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一、数据填报口径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hAnsi="仿宋"/>
          <w:sz w:val="32"/>
          <w:szCs w:val="32"/>
        </w:rPr>
        <w:t>本部门、本地区应纳入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eastAsia" w:hAnsi="仿宋"/>
          <w:sz w:val="32"/>
          <w:szCs w:val="32"/>
        </w:rPr>
        <w:t>年度行政事业性国有资产报表（以下简称资产报表）填报范围的行政事业单位</w:t>
      </w:r>
      <w:r>
        <w:rPr>
          <w:rFonts w:hint="default" w:ascii="Times New Roman" w:hAnsi="Times New Roman" w:cs="Times New Roman"/>
          <w:sz w:val="32"/>
          <w:szCs w:val="32"/>
        </w:rPr>
        <w:t>共XX个，实际上报单位XX个。说明未上报单位原因。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二、数据审核情况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72" w:firstLineChars="147"/>
        <w:textAlignment w:val="auto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（一）审核情况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1.核实性审核。本部门、本地区全表审核后核实性问题提示共XX类，共计XX条，涉及XX个单位，列表说明主要原因。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2.基础数据审核。本地区、本部门资产数据与上年对比，增减超过20%且≥±100万元的，说明主要原因。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与政府部门财务报告对比审核。本部门、本地区报送资产报表的单位中，有XX个单位未纳入政府部门财务报告填报范围；纳入本地区、本部门政府部门财务报告的行政事业单位（不含企业化管理事业单位）有XX个未报送资产报表，说明主要原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Ansi="仿宋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.与部门决算对比审核。本部门、本地区资产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年报</w:t>
      </w:r>
      <w:r>
        <w:rPr>
          <w:rFonts w:hint="default" w:ascii="Times New Roman" w:hAnsi="Times New Roman" w:cs="Times New Roman"/>
          <w:sz w:val="32"/>
          <w:szCs w:val="32"/>
        </w:rPr>
        <w:t>与决算报表可比单位数量XX个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（即同时报送资产年报和部门决算的单位）</w:t>
      </w:r>
      <w:r>
        <w:rPr>
          <w:rFonts w:hint="default" w:ascii="Times New Roman" w:hAnsi="Times New Roman" w:cs="Times New Roman"/>
          <w:sz w:val="32"/>
          <w:szCs w:val="32"/>
        </w:rPr>
        <w:t>。其中，无差异单位XX个，有差异单位XX个。</w:t>
      </w:r>
      <w:r>
        <w:rPr>
          <w:rFonts w:hint="eastAsia" w:hAnsi="仿宋"/>
          <w:sz w:val="32"/>
          <w:szCs w:val="32"/>
        </w:rPr>
        <w:t>请列表对可比单位资产年报与部门决算报表（附表</w:t>
      </w:r>
      <w:r>
        <w:rPr>
          <w:rFonts w:hAnsi="仿宋"/>
          <w:sz w:val="32"/>
          <w:szCs w:val="32"/>
        </w:rPr>
        <w:t>：</w:t>
      </w:r>
      <w:r>
        <w:rPr>
          <w:rFonts w:hint="eastAsia" w:hAnsi="仿宋"/>
          <w:sz w:val="32"/>
          <w:szCs w:val="32"/>
        </w:rPr>
        <w:t>《预算支出</w:t>
      </w:r>
      <w:r>
        <w:rPr>
          <w:rFonts w:hAnsi="仿宋"/>
          <w:sz w:val="32"/>
          <w:szCs w:val="32"/>
        </w:rPr>
        <w:t>相关信息表》</w:t>
      </w:r>
      <w:r>
        <w:rPr>
          <w:rFonts w:hint="eastAsia" w:hAnsi="仿宋"/>
          <w:sz w:val="32"/>
          <w:szCs w:val="32"/>
        </w:rPr>
        <w:t>《机构</w:t>
      </w:r>
      <w:r>
        <w:rPr>
          <w:rFonts w:hAnsi="仿宋"/>
          <w:sz w:val="32"/>
          <w:szCs w:val="32"/>
        </w:rPr>
        <w:t>运行信息表》）中的</w:t>
      </w:r>
      <w:r>
        <w:rPr>
          <w:rFonts w:hint="eastAsia" w:hAnsi="Calibri"/>
          <w:color w:val="000000" w:themeColor="text1"/>
          <w:kern w:val="2"/>
          <w:sz w:val="32"/>
          <w:szCs w:val="32"/>
        </w:rPr>
        <w:t>房屋、车辆、单价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</w:rPr>
        <w:t>100</w:t>
      </w:r>
      <w:r>
        <w:rPr>
          <w:rFonts w:hint="eastAsia" w:hAnsi="Calibri"/>
          <w:color w:val="000000" w:themeColor="text1"/>
          <w:kern w:val="2"/>
          <w:sz w:val="32"/>
          <w:szCs w:val="32"/>
        </w:rPr>
        <w:t>万元（含）以上的设备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</w:rPr>
        <w:t>（不含车辆）</w:t>
      </w:r>
      <w:r>
        <w:rPr>
          <w:rFonts w:hAnsi="仿宋"/>
          <w:sz w:val="32"/>
          <w:szCs w:val="32"/>
        </w:rPr>
        <w:t>等重要资产</w:t>
      </w:r>
      <w:r>
        <w:rPr>
          <w:rFonts w:hint="eastAsia" w:hAnsi="仿宋"/>
          <w:sz w:val="32"/>
          <w:szCs w:val="32"/>
        </w:rPr>
        <w:t>数据进行对比</w:t>
      </w:r>
      <w:r>
        <w:rPr>
          <w:rFonts w:hAnsi="仿宋"/>
          <w:sz w:val="32"/>
          <w:szCs w:val="32"/>
        </w:rPr>
        <w:t>，如存在差异，请</w:t>
      </w:r>
      <w:r>
        <w:rPr>
          <w:rFonts w:hint="eastAsia" w:hAnsi="仿宋"/>
          <w:sz w:val="32"/>
          <w:szCs w:val="32"/>
        </w:rPr>
        <w:t>详细分析差异产生的原因。</w:t>
      </w:r>
    </w:p>
    <w:tbl>
      <w:tblPr>
        <w:tblStyle w:val="9"/>
        <w:tblW w:w="10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26"/>
        <w:gridCol w:w="1276"/>
        <w:gridCol w:w="1276"/>
        <w:gridCol w:w="1276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对比指标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资产</w:t>
            </w:r>
            <w:r>
              <w:rPr>
                <w:rFonts w:hAnsi="仿宋"/>
                <w:szCs w:val="28"/>
              </w:rPr>
              <w:t>年</w:t>
            </w:r>
            <w:r>
              <w:rPr>
                <w:rFonts w:hint="eastAsia" w:hAnsi="仿宋"/>
                <w:szCs w:val="28"/>
              </w:rPr>
              <w:t>报</w:t>
            </w:r>
            <w:r>
              <w:rPr>
                <w:rFonts w:hAnsi="仿宋"/>
                <w:szCs w:val="28"/>
              </w:rPr>
              <w:t>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部门</w:t>
            </w:r>
            <w:r>
              <w:rPr>
                <w:rFonts w:hAnsi="仿宋"/>
                <w:szCs w:val="28"/>
              </w:rPr>
              <w:t>决算</w:t>
            </w:r>
            <w:r>
              <w:rPr>
                <w:rFonts w:hint="eastAsia" w:hAnsi="仿宋"/>
                <w:szCs w:val="28"/>
              </w:rPr>
              <w:t>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差异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户数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差异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Ansi="仿宋"/>
                <w:szCs w:val="2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金额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（万元</w:t>
            </w:r>
            <w:r>
              <w:rPr>
                <w:rFonts w:hAnsi="仿宋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金额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（万元</w:t>
            </w:r>
            <w:r>
              <w:rPr>
                <w:rFonts w:hAnsi="仿宋"/>
                <w:szCs w:val="28"/>
              </w:rPr>
              <w:t>）</w:t>
            </w:r>
          </w:p>
        </w:tc>
        <w:tc>
          <w:tcPr>
            <w:tcW w:w="127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房屋（平方米）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车辆（台、辆）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32"/>
                <w:szCs w:val="32"/>
              </w:rPr>
              <w:t>单价100万元（含）以上的设备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32"/>
                <w:szCs w:val="32"/>
                <w:lang w:eastAsia="zh-CN"/>
              </w:rPr>
              <w:t>（不含车辆）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（二）对报表指标、审核公式和分析表的设置建议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1.对报表指标设置的建议。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2.如有不适用的审核公式，请列出并说明修改意见。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hAnsi="仿宋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3.本</w:t>
      </w:r>
      <w:r>
        <w:rPr>
          <w:rFonts w:hint="eastAsia" w:hAnsi="仿宋"/>
          <w:sz w:val="32"/>
          <w:szCs w:val="32"/>
        </w:rPr>
        <w:t>地区、本部门自行增加的审核公式，请列出并说明设置依据。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三、其他说明情况</w:t>
      </w: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6D47B"/>
    <w:multiLevelType w:val="singleLevel"/>
    <w:tmpl w:val="5966D47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991"/>
    <w:rsid w:val="000049FE"/>
    <w:rsid w:val="00025FE2"/>
    <w:rsid w:val="0005300D"/>
    <w:rsid w:val="00057D79"/>
    <w:rsid w:val="00060164"/>
    <w:rsid w:val="0006365D"/>
    <w:rsid w:val="00070D4D"/>
    <w:rsid w:val="00093C60"/>
    <w:rsid w:val="000A6954"/>
    <w:rsid w:val="000B0273"/>
    <w:rsid w:val="000C0B41"/>
    <w:rsid w:val="000E1A94"/>
    <w:rsid w:val="00104A2E"/>
    <w:rsid w:val="00112231"/>
    <w:rsid w:val="00115EAB"/>
    <w:rsid w:val="00124AA1"/>
    <w:rsid w:val="00130C7A"/>
    <w:rsid w:val="001317CB"/>
    <w:rsid w:val="00135BD3"/>
    <w:rsid w:val="001D1C02"/>
    <w:rsid w:val="001E2AD1"/>
    <w:rsid w:val="001F4EF9"/>
    <w:rsid w:val="001F585A"/>
    <w:rsid w:val="0020017F"/>
    <w:rsid w:val="00245824"/>
    <w:rsid w:val="00260602"/>
    <w:rsid w:val="00260835"/>
    <w:rsid w:val="002816D5"/>
    <w:rsid w:val="00294E37"/>
    <w:rsid w:val="002B7325"/>
    <w:rsid w:val="002C63C3"/>
    <w:rsid w:val="002F1B98"/>
    <w:rsid w:val="00313106"/>
    <w:rsid w:val="00316C04"/>
    <w:rsid w:val="00335991"/>
    <w:rsid w:val="00343A10"/>
    <w:rsid w:val="00344E53"/>
    <w:rsid w:val="0039703D"/>
    <w:rsid w:val="003A3A2D"/>
    <w:rsid w:val="003B7322"/>
    <w:rsid w:val="003D4053"/>
    <w:rsid w:val="003F286C"/>
    <w:rsid w:val="004127EB"/>
    <w:rsid w:val="00432B1F"/>
    <w:rsid w:val="00434575"/>
    <w:rsid w:val="004B14B2"/>
    <w:rsid w:val="004C4497"/>
    <w:rsid w:val="004E66B6"/>
    <w:rsid w:val="0050435A"/>
    <w:rsid w:val="00521A84"/>
    <w:rsid w:val="00544332"/>
    <w:rsid w:val="005540C2"/>
    <w:rsid w:val="005674F5"/>
    <w:rsid w:val="00583C5E"/>
    <w:rsid w:val="00591362"/>
    <w:rsid w:val="0059651B"/>
    <w:rsid w:val="005A0BE4"/>
    <w:rsid w:val="005A1BA1"/>
    <w:rsid w:val="005B3DE9"/>
    <w:rsid w:val="005B7631"/>
    <w:rsid w:val="00654FF0"/>
    <w:rsid w:val="00683CF7"/>
    <w:rsid w:val="00684169"/>
    <w:rsid w:val="006949CA"/>
    <w:rsid w:val="006A0C68"/>
    <w:rsid w:val="006E6AEC"/>
    <w:rsid w:val="00702284"/>
    <w:rsid w:val="00704CA6"/>
    <w:rsid w:val="007259D4"/>
    <w:rsid w:val="00732BFE"/>
    <w:rsid w:val="00742F68"/>
    <w:rsid w:val="00754EED"/>
    <w:rsid w:val="00757346"/>
    <w:rsid w:val="00770C5C"/>
    <w:rsid w:val="00796F97"/>
    <w:rsid w:val="00815357"/>
    <w:rsid w:val="00837987"/>
    <w:rsid w:val="0084501D"/>
    <w:rsid w:val="00845C4E"/>
    <w:rsid w:val="00846FA0"/>
    <w:rsid w:val="0087312C"/>
    <w:rsid w:val="008E1490"/>
    <w:rsid w:val="00922278"/>
    <w:rsid w:val="00952E45"/>
    <w:rsid w:val="009636B1"/>
    <w:rsid w:val="0098376A"/>
    <w:rsid w:val="0099011D"/>
    <w:rsid w:val="009965F0"/>
    <w:rsid w:val="009A568B"/>
    <w:rsid w:val="009A678D"/>
    <w:rsid w:val="009C2E68"/>
    <w:rsid w:val="009E32C4"/>
    <w:rsid w:val="009E6C2B"/>
    <w:rsid w:val="00A053A5"/>
    <w:rsid w:val="00A13740"/>
    <w:rsid w:val="00A209C9"/>
    <w:rsid w:val="00A22192"/>
    <w:rsid w:val="00A43FA6"/>
    <w:rsid w:val="00A52B3F"/>
    <w:rsid w:val="00A75CAF"/>
    <w:rsid w:val="00A934B6"/>
    <w:rsid w:val="00AB43E0"/>
    <w:rsid w:val="00AB7AC4"/>
    <w:rsid w:val="00AD0838"/>
    <w:rsid w:val="00AD48AD"/>
    <w:rsid w:val="00AF54B7"/>
    <w:rsid w:val="00B0148B"/>
    <w:rsid w:val="00B10C3B"/>
    <w:rsid w:val="00B235AD"/>
    <w:rsid w:val="00B675BA"/>
    <w:rsid w:val="00B70B23"/>
    <w:rsid w:val="00B718A3"/>
    <w:rsid w:val="00BB25C0"/>
    <w:rsid w:val="00BC3E15"/>
    <w:rsid w:val="00BE24C4"/>
    <w:rsid w:val="00C028AC"/>
    <w:rsid w:val="00C05D96"/>
    <w:rsid w:val="00C17C36"/>
    <w:rsid w:val="00C222AF"/>
    <w:rsid w:val="00C830C8"/>
    <w:rsid w:val="00C83300"/>
    <w:rsid w:val="00C90C24"/>
    <w:rsid w:val="00C9528A"/>
    <w:rsid w:val="00CB2D15"/>
    <w:rsid w:val="00CE68C6"/>
    <w:rsid w:val="00CE68D6"/>
    <w:rsid w:val="00D15D43"/>
    <w:rsid w:val="00DA0CE3"/>
    <w:rsid w:val="00DA4426"/>
    <w:rsid w:val="00DA66C1"/>
    <w:rsid w:val="00DD0A90"/>
    <w:rsid w:val="00DD1279"/>
    <w:rsid w:val="00DE6C71"/>
    <w:rsid w:val="00DF0C51"/>
    <w:rsid w:val="00E058EC"/>
    <w:rsid w:val="00E5767B"/>
    <w:rsid w:val="00E7352D"/>
    <w:rsid w:val="00E85851"/>
    <w:rsid w:val="00E915A4"/>
    <w:rsid w:val="00EB5364"/>
    <w:rsid w:val="00EB7A21"/>
    <w:rsid w:val="00EC503B"/>
    <w:rsid w:val="00EC6494"/>
    <w:rsid w:val="00ED5731"/>
    <w:rsid w:val="00EE65BA"/>
    <w:rsid w:val="00F05080"/>
    <w:rsid w:val="00F30282"/>
    <w:rsid w:val="00F4167D"/>
    <w:rsid w:val="00FA395F"/>
    <w:rsid w:val="00FE21FF"/>
    <w:rsid w:val="00FE4709"/>
    <w:rsid w:val="00FE6BEE"/>
    <w:rsid w:val="01B72FE8"/>
    <w:rsid w:val="05630DED"/>
    <w:rsid w:val="05737DA7"/>
    <w:rsid w:val="05DD0AAC"/>
    <w:rsid w:val="07C8056D"/>
    <w:rsid w:val="0803606E"/>
    <w:rsid w:val="0A14573C"/>
    <w:rsid w:val="13DF7131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EA83571"/>
    <w:rsid w:val="2398650F"/>
    <w:rsid w:val="24B63E8F"/>
    <w:rsid w:val="24E34B4D"/>
    <w:rsid w:val="27343E39"/>
    <w:rsid w:val="27403D23"/>
    <w:rsid w:val="2C810C7E"/>
    <w:rsid w:val="2CE92C08"/>
    <w:rsid w:val="2D983B51"/>
    <w:rsid w:val="356A0CBA"/>
    <w:rsid w:val="36E74043"/>
    <w:rsid w:val="3D0F0E7C"/>
    <w:rsid w:val="3D7C6550"/>
    <w:rsid w:val="3E981F4A"/>
    <w:rsid w:val="3EE67CFE"/>
    <w:rsid w:val="3F890E9E"/>
    <w:rsid w:val="42015F7A"/>
    <w:rsid w:val="42A55E52"/>
    <w:rsid w:val="49007BB4"/>
    <w:rsid w:val="4B95391B"/>
    <w:rsid w:val="4BDC7BBB"/>
    <w:rsid w:val="4D8455FF"/>
    <w:rsid w:val="4E8F59DC"/>
    <w:rsid w:val="4F366B63"/>
    <w:rsid w:val="4FFF3EE2"/>
    <w:rsid w:val="529714CD"/>
    <w:rsid w:val="581C0110"/>
    <w:rsid w:val="58F32484"/>
    <w:rsid w:val="59536C3D"/>
    <w:rsid w:val="59CC555B"/>
    <w:rsid w:val="5EC7117B"/>
    <w:rsid w:val="5FCC6669"/>
    <w:rsid w:val="670FCBCB"/>
    <w:rsid w:val="69B45402"/>
    <w:rsid w:val="6B065441"/>
    <w:rsid w:val="6BA8786E"/>
    <w:rsid w:val="6D144208"/>
    <w:rsid w:val="70913962"/>
    <w:rsid w:val="71422B97"/>
    <w:rsid w:val="76187CCC"/>
    <w:rsid w:val="770A1366"/>
    <w:rsid w:val="77E76F2F"/>
    <w:rsid w:val="7942105E"/>
    <w:rsid w:val="7BCA240B"/>
    <w:rsid w:val="7D3FD546"/>
    <w:rsid w:val="7ED71BDD"/>
    <w:rsid w:val="7F5F3D23"/>
    <w:rsid w:val="AADF3610"/>
    <w:rsid w:val="B2FDC488"/>
    <w:rsid w:val="DDE63326"/>
    <w:rsid w:val="DE94688C"/>
    <w:rsid w:val="E6FB2EED"/>
    <w:rsid w:val="E98FB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7"/>
    <w:qFormat/>
    <w:uiPriority w:val="0"/>
    <w:rPr>
      <w:b/>
      <w:bCs/>
      <w:kern w:val="2"/>
      <w:sz w:val="21"/>
      <w:szCs w:val="24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</Words>
  <Characters>1317</Characters>
  <Lines>10</Lines>
  <Paragraphs>3</Paragraphs>
  <TotalTime>15</TotalTime>
  <ScaleCrop>false</ScaleCrop>
  <LinksUpToDate>false</LinksUpToDate>
  <CharactersWithSpaces>1545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2020-09-24T02:27:00Z</dcterms:created>
  <dc:creator>ThiknT450</dc:creator>
  <cp:lastModifiedBy>文　印</cp:lastModifiedBy>
  <dcterms:modified xsi:type="dcterms:W3CDTF">2023-02-08T14:21:03Z</dcterms:modified>
  <dc:title>行政事业单位资产编报说明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