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C7A3A">
      <w:pPr>
        <w:keepNext w:val="0"/>
        <w:keepLines w:val="0"/>
        <w:pageBreakBefore w:val="0"/>
        <w:kinsoku/>
        <w:wordWrap/>
        <w:overflowPunct/>
        <w:topLinePunct w:val="0"/>
        <w:autoSpaceDE/>
        <w:autoSpaceDN/>
        <w:bidi w:val="0"/>
        <w:spacing w:after="0" w:line="600" w:lineRule="exact"/>
        <w:ind w:left="0" w:leftChars="0" w:firstLine="0" w:firstLineChars="0"/>
        <w:jc w:val="left"/>
        <w:textAlignment w:val="auto"/>
        <w:rPr>
          <w:rFonts w:hint="eastAsia" w:ascii="黑体" w:hAnsi="黑体" w:eastAsia="黑体" w:cs="黑体"/>
          <w:strike w:val="0"/>
          <w:dstrike w:val="0"/>
          <w:color w:val="auto"/>
          <w:sz w:val="32"/>
          <w:szCs w:val="32"/>
          <w:highlight w:val="none"/>
          <w:u w:val="none"/>
          <w:lang w:val="en-US" w:eastAsia="zh-CN"/>
        </w:rPr>
      </w:pPr>
      <w:bookmarkStart w:id="0" w:name="_GoBack"/>
      <w:bookmarkEnd w:id="0"/>
      <w:r>
        <w:rPr>
          <w:rFonts w:hint="default" w:ascii="黑体" w:hAnsi="黑体" w:eastAsia="黑体" w:cs="黑体"/>
          <w:strike w:val="0"/>
          <w:dstrike w:val="0"/>
          <w:color w:val="auto"/>
          <w:sz w:val="32"/>
          <w:szCs w:val="32"/>
          <w:highlight w:val="none"/>
          <w:u w:val="none"/>
          <w:lang w:val="en-US" w:eastAsia="zh-CN"/>
        </w:rPr>
        <w:t>附件</w:t>
      </w:r>
      <w:r>
        <w:rPr>
          <w:rFonts w:hint="eastAsia" w:ascii="黑体" w:hAnsi="黑体" w:eastAsia="黑体" w:cs="黑体"/>
          <w:strike w:val="0"/>
          <w:dstrike w:val="0"/>
          <w:color w:val="auto"/>
          <w:sz w:val="32"/>
          <w:szCs w:val="32"/>
          <w:highlight w:val="none"/>
          <w:u w:val="none"/>
          <w:lang w:val="en-US" w:eastAsia="zh-CN"/>
        </w:rPr>
        <w:t>7</w:t>
      </w:r>
    </w:p>
    <w:p w14:paraId="74B20EC3">
      <w:pPr>
        <w:pStyle w:val="2"/>
        <w:rPr>
          <w:rFonts w:hint="default"/>
          <w:lang w:val="en-US" w:eastAsia="zh-CN"/>
        </w:rPr>
      </w:pPr>
    </w:p>
    <w:p w14:paraId="76779BD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highlight w:val="none"/>
          <w:u w:val="none"/>
          <w:lang w:val="en-US" w:eastAsia="zh-CN"/>
        </w:rPr>
      </w:pPr>
      <w:r>
        <w:rPr>
          <w:rFonts w:hint="eastAsia" w:ascii="方正小标宋_GBK" w:hAnsi="方正小标宋_GBK" w:eastAsia="方正小标宋_GBK" w:cs="方正小标宋_GBK"/>
          <w:b w:val="0"/>
          <w:bCs w:val="0"/>
          <w:sz w:val="44"/>
          <w:szCs w:val="44"/>
          <w:highlight w:val="none"/>
          <w:u w:val="none"/>
          <w:lang w:val="en-US" w:eastAsia="zh-CN"/>
        </w:rPr>
        <w:t>松江、漕河泾、奉贤、金桥、青浦、嘉定</w:t>
      </w:r>
    </w:p>
    <w:p w14:paraId="7BAE0C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highlight w:val="none"/>
          <w:u w:val="none"/>
          <w:lang w:val="en-US" w:eastAsia="zh-CN"/>
        </w:rPr>
      </w:pPr>
      <w:r>
        <w:rPr>
          <w:rFonts w:hint="eastAsia" w:ascii="方正小标宋_GBK" w:hAnsi="方正小标宋_GBK" w:eastAsia="方正小标宋_GBK" w:cs="方正小标宋_GBK"/>
          <w:b w:val="0"/>
          <w:bCs w:val="0"/>
          <w:sz w:val="44"/>
          <w:szCs w:val="44"/>
          <w:highlight w:val="none"/>
          <w:u w:val="none"/>
          <w:lang w:val="en-US" w:eastAsia="zh-CN"/>
        </w:rPr>
        <w:t>综合保税区自贸试验区联动创新区</w:t>
      </w:r>
    </w:p>
    <w:p w14:paraId="322AFD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highlight w:val="none"/>
          <w:u w:val="none"/>
          <w:lang w:val="en-US" w:eastAsia="zh-CN"/>
        </w:rPr>
      </w:pPr>
      <w:r>
        <w:rPr>
          <w:rFonts w:hint="eastAsia" w:ascii="方正小标宋_GBK" w:hAnsi="方正小标宋_GBK" w:eastAsia="方正小标宋_GBK" w:cs="方正小标宋_GBK"/>
          <w:b w:val="0"/>
          <w:bCs w:val="0"/>
          <w:sz w:val="44"/>
          <w:szCs w:val="44"/>
          <w:highlight w:val="none"/>
          <w:u w:val="none"/>
          <w:lang w:val="en-US" w:eastAsia="zh-CN"/>
        </w:rPr>
        <w:t>建设方案</w:t>
      </w:r>
    </w:p>
    <w:p w14:paraId="1B1A02BF">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highlight w:val="none"/>
          <w:u w:val="none"/>
          <w:lang w:val="en-US" w:eastAsia="zh-CN"/>
        </w:rPr>
      </w:pPr>
    </w:p>
    <w:p w14:paraId="00BD70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为进一步放大自贸试验区改革创新溢出效应，加快推进本市综合保税区转型发展和能级提升，制定本方案。</w:t>
      </w:r>
    </w:p>
    <w:p w14:paraId="6245F2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val="0"/>
          <w:sz w:val="32"/>
          <w:szCs w:val="32"/>
          <w:highlight w:val="none"/>
          <w:u w:val="none"/>
          <w:lang w:val="en-US" w:eastAsia="zh-CN"/>
        </w:rPr>
      </w:pPr>
      <w:r>
        <w:rPr>
          <w:rFonts w:hint="default" w:ascii="Times New Roman" w:hAnsi="Times New Roman" w:eastAsia="黑体" w:cs="Times New Roman"/>
          <w:b w:val="0"/>
          <w:bCs w:val="0"/>
          <w:sz w:val="32"/>
          <w:szCs w:val="32"/>
          <w:highlight w:val="none"/>
          <w:u w:val="none"/>
          <w:lang w:val="en-US" w:eastAsia="zh-CN"/>
        </w:rPr>
        <w:t>一、推动新业态新模式多元发展</w:t>
      </w:r>
    </w:p>
    <w:p w14:paraId="55F27F0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1.稳步拓展保税维修业务范围。</w:t>
      </w:r>
      <w:r>
        <w:rPr>
          <w:rFonts w:hint="default" w:ascii="Times New Roman" w:hAnsi="Times New Roman" w:eastAsia="仿宋_GB2312" w:cs="Times New Roman"/>
          <w:sz w:val="32"/>
          <w:szCs w:val="32"/>
          <w:highlight w:val="none"/>
          <w:u w:val="none"/>
          <w:lang w:val="en-US" w:eastAsia="zh-CN"/>
        </w:rPr>
        <w:t>以试点方式推进综合保税区内企业开展维修产品目录范围外的保税维修业务，支持符合条件的企业在综合保税区内开展全球医疗器械、电子产品保税维修业务试点。</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w:t>
      </w:r>
      <w:r>
        <w:rPr>
          <w:rFonts w:hint="default" w:ascii="Times New Roman" w:hAnsi="Times New Roman" w:eastAsia="楷体_GB2312" w:cs="Times New Roman"/>
          <w:color w:val="auto"/>
          <w:sz w:val="32"/>
          <w:szCs w:val="32"/>
          <w:highlight w:val="none"/>
          <w:u w:val="none"/>
          <w:lang w:eastAsia="zh-CN"/>
        </w:rPr>
        <w:t>嘉定区、松江区、奉贤区、</w:t>
      </w:r>
      <w:r>
        <w:rPr>
          <w:rFonts w:hint="eastAsia" w:ascii="Times New Roman" w:hAnsi="Times New Roman" w:eastAsia="楷体_GB2312" w:cs="Times New Roman"/>
          <w:color w:val="auto"/>
          <w:sz w:val="32"/>
          <w:szCs w:val="32"/>
          <w:highlight w:val="none"/>
          <w:u w:val="none"/>
          <w:lang w:eastAsia="zh-CN"/>
        </w:rPr>
        <w:t>市</w:t>
      </w:r>
      <w:r>
        <w:rPr>
          <w:rFonts w:hint="default" w:ascii="Times New Roman" w:hAnsi="Times New Roman" w:eastAsia="楷体_GB2312" w:cs="Times New Roman"/>
          <w:color w:val="auto"/>
          <w:sz w:val="32"/>
          <w:szCs w:val="32"/>
          <w:highlight w:val="none"/>
          <w:u w:val="none"/>
        </w:rPr>
        <w:t>商务委、上海海关、市生态环境局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7427E75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2.支持跨境电商产业集聚。</w:t>
      </w:r>
      <w:r>
        <w:rPr>
          <w:rFonts w:hint="default" w:ascii="Times New Roman" w:hAnsi="Times New Roman" w:eastAsia="仿宋_GB2312" w:cs="Times New Roman"/>
          <w:sz w:val="32"/>
          <w:szCs w:val="32"/>
          <w:highlight w:val="none"/>
          <w:u w:val="none"/>
          <w:lang w:val="en-US" w:eastAsia="zh-CN"/>
        </w:rPr>
        <w:t>深化综合保税区退货中心仓业务模式试点，为跨境电商退货渠道提供更加安全便捷的通关服务，推动企业进一步完善跨境电商服务功能。</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w:t>
      </w:r>
      <w:r>
        <w:rPr>
          <w:rFonts w:hint="default" w:ascii="Times New Roman" w:hAnsi="Times New Roman" w:eastAsia="楷体_GB2312" w:cs="Times New Roman"/>
          <w:color w:val="auto"/>
          <w:sz w:val="32"/>
          <w:szCs w:val="32"/>
          <w:highlight w:val="none"/>
          <w:u w:val="none"/>
          <w:lang w:eastAsia="zh-CN"/>
        </w:rPr>
        <w:t>闵行区、嘉定区、松江区、青浦区、上海海关、</w:t>
      </w:r>
      <w:r>
        <w:rPr>
          <w:rFonts w:hint="default" w:ascii="Times New Roman" w:hAnsi="Times New Roman" w:eastAsia="楷体_GB2312" w:cs="Times New Roman"/>
          <w:color w:val="auto"/>
          <w:sz w:val="32"/>
          <w:szCs w:val="32"/>
          <w:highlight w:val="none"/>
          <w:u w:val="none"/>
        </w:rPr>
        <w:t>市商务委</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依托综合保税区仓储、物流功能，布局电商平台、电商企业和服务供应商，推动“丝路电商”相关企业集聚。</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w:t>
      </w:r>
      <w:r>
        <w:rPr>
          <w:rFonts w:hint="default" w:ascii="Times New Roman" w:hAnsi="Times New Roman" w:eastAsia="楷体_GB2312" w:cs="Times New Roman"/>
          <w:color w:val="auto"/>
          <w:sz w:val="32"/>
          <w:szCs w:val="32"/>
          <w:highlight w:val="none"/>
          <w:u w:val="none"/>
          <w:lang w:eastAsia="zh-CN"/>
        </w:rPr>
        <w:t>松江区、奉贤区、</w:t>
      </w:r>
      <w:r>
        <w:rPr>
          <w:rFonts w:hint="default" w:ascii="Times New Roman" w:hAnsi="Times New Roman" w:eastAsia="楷体_GB2312" w:cs="Times New Roman"/>
          <w:color w:val="auto"/>
          <w:sz w:val="32"/>
          <w:szCs w:val="32"/>
          <w:highlight w:val="none"/>
          <w:u w:val="none"/>
        </w:rPr>
        <w:t>市商务委</w:t>
      </w:r>
      <w:r>
        <w:rPr>
          <w:rFonts w:hint="default" w:ascii="Times New Roman" w:hAnsi="Times New Roman" w:eastAsia="楷体_GB2312" w:cs="Times New Roman"/>
          <w:color w:val="auto"/>
          <w:sz w:val="32"/>
          <w:szCs w:val="32"/>
          <w:highlight w:val="none"/>
          <w:u w:val="none"/>
          <w:lang w:eastAsia="zh-CN"/>
        </w:rPr>
        <w:t>、浦东新区</w:t>
      </w:r>
      <w:r>
        <w:rPr>
          <w:rFonts w:hint="default" w:ascii="Times New Roman" w:hAnsi="Times New Roman" w:eastAsia="仿宋_GB2312" w:cs="Times New Roman"/>
          <w:strike w:val="0"/>
          <w:dstrike w:val="0"/>
          <w:color w:val="auto"/>
          <w:sz w:val="32"/>
          <w:szCs w:val="32"/>
          <w:highlight w:val="none"/>
          <w:u w:val="none"/>
          <w:lang w:val="en-US" w:eastAsia="zh-CN"/>
        </w:rPr>
        <w:t>）</w:t>
      </w:r>
    </w:p>
    <w:p w14:paraId="1025832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3.探索拓展“保税+”业务。</w:t>
      </w:r>
      <w:r>
        <w:rPr>
          <w:rFonts w:hint="default" w:ascii="Times New Roman" w:hAnsi="Times New Roman" w:eastAsia="仿宋_GB2312" w:cs="Times New Roman"/>
          <w:sz w:val="32"/>
          <w:szCs w:val="32"/>
          <w:highlight w:val="none"/>
          <w:u w:val="none"/>
          <w:lang w:val="en-US" w:eastAsia="zh-CN"/>
        </w:rPr>
        <w:t>支持在符合条件的综合保税区内扩大试点肉类保税加工业务，进一步降低企业成本。</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w:t>
      </w:r>
      <w:r>
        <w:rPr>
          <w:rFonts w:hint="default" w:ascii="Times New Roman" w:hAnsi="Times New Roman" w:eastAsia="楷体_GB2312" w:cs="Times New Roman"/>
          <w:color w:val="auto"/>
          <w:sz w:val="32"/>
          <w:szCs w:val="32"/>
          <w:highlight w:val="none"/>
          <w:u w:val="none"/>
          <w:lang w:eastAsia="zh-CN"/>
        </w:rPr>
        <w:t>松江区、青浦区、</w:t>
      </w:r>
      <w:r>
        <w:rPr>
          <w:rFonts w:hint="default" w:ascii="Times New Roman" w:hAnsi="Times New Roman" w:eastAsia="楷体_GB2312" w:cs="Times New Roman"/>
          <w:color w:val="auto"/>
          <w:sz w:val="32"/>
          <w:szCs w:val="32"/>
          <w:highlight w:val="none"/>
          <w:u w:val="none"/>
        </w:rPr>
        <w:t>上海海关、市市场监管局、市商务委</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仿宋_GB2312" w:cs="Times New Roman"/>
          <w:sz w:val="32"/>
          <w:szCs w:val="32"/>
          <w:highlight w:val="none"/>
          <w:u w:val="none"/>
        </w:rPr>
        <w:t>支持综合保税区开展消费品展示业务，探索研究“前店后仓”模式。</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w:t>
      </w:r>
      <w:r>
        <w:rPr>
          <w:rFonts w:hint="default" w:ascii="Times New Roman" w:hAnsi="Times New Roman" w:eastAsia="楷体_GB2312" w:cs="Times New Roman"/>
          <w:color w:val="auto"/>
          <w:sz w:val="32"/>
          <w:szCs w:val="32"/>
          <w:highlight w:val="none"/>
          <w:u w:val="none"/>
          <w:lang w:eastAsia="zh-CN"/>
        </w:rPr>
        <w:t>奉贤区、</w:t>
      </w:r>
      <w:r>
        <w:rPr>
          <w:rFonts w:hint="eastAsia" w:ascii="Times New Roman" w:hAnsi="Times New Roman" w:eastAsia="楷体_GB2312" w:cs="Times New Roman"/>
          <w:color w:val="auto"/>
          <w:sz w:val="32"/>
          <w:szCs w:val="32"/>
          <w:highlight w:val="none"/>
          <w:u w:val="none"/>
          <w:lang w:eastAsia="zh-CN"/>
        </w:rPr>
        <w:t>市</w:t>
      </w:r>
      <w:r>
        <w:rPr>
          <w:rFonts w:hint="default" w:ascii="Times New Roman" w:hAnsi="Times New Roman" w:eastAsia="楷体_GB2312" w:cs="Times New Roman"/>
          <w:strike w:val="0"/>
          <w:dstrike w:val="0"/>
          <w:color w:val="auto"/>
          <w:sz w:val="32"/>
          <w:szCs w:val="32"/>
          <w:highlight w:val="none"/>
          <w:u w:val="none"/>
          <w:lang w:val="en-US" w:eastAsia="zh-CN"/>
        </w:rPr>
        <w:t>商务委、</w:t>
      </w:r>
      <w:r>
        <w:rPr>
          <w:rFonts w:hint="default" w:ascii="Times New Roman" w:hAnsi="Times New Roman" w:eastAsia="楷体_GB2312" w:cs="Times New Roman"/>
          <w:color w:val="auto"/>
          <w:sz w:val="32"/>
          <w:szCs w:val="32"/>
          <w:highlight w:val="none"/>
          <w:u w:val="none"/>
        </w:rPr>
        <w:t>上海海关</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仿宋_GB2312" w:cs="Times New Roman"/>
          <w:sz w:val="32"/>
          <w:szCs w:val="32"/>
          <w:highlight w:val="none"/>
          <w:u w:val="none"/>
        </w:rPr>
        <w:t>争取传统经典车进口在相关综合保税区先行先试，适时争取开展百年经典车的保税展示交易业务。</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w:t>
      </w:r>
      <w:r>
        <w:rPr>
          <w:rFonts w:hint="default" w:ascii="Times New Roman" w:hAnsi="Times New Roman" w:eastAsia="楷体_GB2312" w:cs="Times New Roman"/>
          <w:color w:val="auto"/>
          <w:sz w:val="32"/>
          <w:szCs w:val="32"/>
          <w:highlight w:val="none"/>
          <w:u w:val="none"/>
          <w:lang w:eastAsia="zh-CN"/>
        </w:rPr>
        <w:t>嘉定区、市商务委、市生态环境局、上海海关</w:t>
      </w:r>
      <w:r>
        <w:rPr>
          <w:rFonts w:hint="default" w:ascii="Times New Roman" w:hAnsi="Times New Roman" w:eastAsia="仿宋_GB2312" w:cs="Times New Roman"/>
          <w:strike w:val="0"/>
          <w:dstrike w:val="0"/>
          <w:color w:val="auto"/>
          <w:sz w:val="32"/>
          <w:szCs w:val="32"/>
          <w:highlight w:val="none"/>
          <w:u w:val="none"/>
          <w:lang w:val="en-US" w:eastAsia="zh-CN"/>
        </w:rPr>
        <w:t>）</w:t>
      </w:r>
    </w:p>
    <w:p w14:paraId="602A2C3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4.提升艺术品贸易监管效能。</w:t>
      </w:r>
      <w:r>
        <w:rPr>
          <w:rFonts w:hint="default" w:ascii="Times New Roman" w:hAnsi="Times New Roman" w:eastAsia="仿宋_GB2312" w:cs="Times New Roman"/>
          <w:sz w:val="32"/>
          <w:szCs w:val="32"/>
          <w:highlight w:val="none"/>
          <w:u w:val="none"/>
          <w:lang w:val="en-US" w:eastAsia="zh-CN"/>
        </w:rPr>
        <w:t>提高在综合保税区内入境的艺术品审批速度，将确定清单到允许入境的时间从20个工作日缩减到10个工作日。推动开展保税艺术品及文物交流等业务。</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w:t>
      </w:r>
      <w:r>
        <w:rPr>
          <w:rFonts w:hint="default" w:ascii="Times New Roman" w:hAnsi="Times New Roman" w:eastAsia="楷体_GB2312" w:cs="Times New Roman"/>
          <w:color w:val="auto"/>
          <w:sz w:val="32"/>
          <w:szCs w:val="32"/>
          <w:highlight w:val="none"/>
          <w:u w:val="none"/>
          <w:lang w:eastAsia="zh-CN"/>
        </w:rPr>
        <w:t>嘉定区、松江区、市文化旅游局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039377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val="0"/>
          <w:sz w:val="32"/>
          <w:szCs w:val="32"/>
          <w:highlight w:val="none"/>
          <w:u w:val="none"/>
          <w:lang w:val="en-US" w:eastAsia="zh-CN"/>
        </w:rPr>
      </w:pPr>
      <w:r>
        <w:rPr>
          <w:rFonts w:hint="default" w:ascii="Times New Roman" w:hAnsi="Times New Roman" w:eastAsia="黑体" w:cs="Times New Roman"/>
          <w:b w:val="0"/>
          <w:bCs w:val="0"/>
          <w:sz w:val="32"/>
          <w:szCs w:val="32"/>
          <w:highlight w:val="none"/>
          <w:u w:val="none"/>
          <w:lang w:val="en-US" w:eastAsia="zh-CN"/>
        </w:rPr>
        <w:t>二、进一步提升贸易便利化水平</w:t>
      </w:r>
    </w:p>
    <w:p w14:paraId="4D3E455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5.完善多元化融资服务。</w:t>
      </w:r>
      <w:r>
        <w:rPr>
          <w:rFonts w:hint="default" w:ascii="Times New Roman" w:hAnsi="Times New Roman" w:eastAsia="仿宋_GB2312" w:cs="Times New Roman"/>
          <w:sz w:val="32"/>
          <w:szCs w:val="32"/>
          <w:highlight w:val="none"/>
          <w:u w:val="none"/>
          <w:lang w:val="en-US" w:eastAsia="zh-CN"/>
        </w:rPr>
        <w:t>推广动产质押融资业务模式，进一步拓宽企业融资渠道，开展应收账款、存货、仓单等权利和动产质押融资业务，助力企业解决融资难、融资贵等问题。</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w:t>
      </w:r>
      <w:r>
        <w:rPr>
          <w:rFonts w:hint="default" w:ascii="Times New Roman" w:hAnsi="Times New Roman" w:eastAsia="楷体_GB2312" w:cs="Times New Roman"/>
          <w:color w:val="auto"/>
          <w:sz w:val="32"/>
          <w:szCs w:val="32"/>
          <w:highlight w:val="none"/>
          <w:u w:val="none"/>
          <w:lang w:eastAsia="zh-CN"/>
        </w:rPr>
        <w:t>奉贤区、上海金融监管局）</w:t>
      </w:r>
    </w:p>
    <w:p w14:paraId="676E2B6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6.推广本外币一体化资金池试点。</w:t>
      </w:r>
      <w:r>
        <w:rPr>
          <w:rFonts w:hint="default" w:ascii="Times New Roman" w:hAnsi="Times New Roman" w:eastAsia="仿宋_GB2312" w:cs="Times New Roman"/>
          <w:sz w:val="32"/>
          <w:szCs w:val="32"/>
          <w:highlight w:val="none"/>
          <w:u w:val="none"/>
          <w:lang w:val="en-US" w:eastAsia="zh-CN"/>
        </w:rPr>
        <w:t>支持符合条件的跨国企业集团建立本外币一体化资金池，在境内外成员之间集中开展本外币资金余缺调剂和归集业务，资金按实际需要兑换，对跨境资金流动实行双向宏观审慎管理。</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w:t>
      </w:r>
      <w:r>
        <w:rPr>
          <w:rFonts w:hint="default" w:ascii="Times New Roman" w:hAnsi="Times New Roman" w:eastAsia="楷体_GB2312" w:cs="Times New Roman"/>
          <w:color w:val="auto"/>
          <w:sz w:val="32"/>
          <w:szCs w:val="32"/>
          <w:highlight w:val="none"/>
          <w:u w:val="none"/>
          <w:lang w:eastAsia="zh-CN"/>
        </w:rPr>
        <w:t>浦东新区、嘉定区、中国人民银行上海总部</w:t>
      </w:r>
      <w:r>
        <w:rPr>
          <w:rFonts w:hint="default" w:ascii="Times New Roman" w:hAnsi="Times New Roman" w:eastAsia="楷体_GB2312" w:cs="Times New Roman"/>
          <w:color w:val="auto"/>
          <w:sz w:val="32"/>
          <w:szCs w:val="32"/>
          <w:highlight w:val="none"/>
          <w:u w:val="none"/>
        </w:rPr>
        <w:t>、国家外汇管理局上海市分局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66F907B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7.扩大跨境贸易投资高水平开放试点。</w:t>
      </w:r>
      <w:r>
        <w:rPr>
          <w:rFonts w:hint="default" w:ascii="Times New Roman" w:hAnsi="Times New Roman" w:eastAsia="仿宋_GB2312" w:cs="Times New Roman"/>
          <w:b w:val="0"/>
          <w:bCs w:val="0"/>
          <w:sz w:val="32"/>
          <w:szCs w:val="32"/>
          <w:highlight w:val="none"/>
          <w:u w:val="none"/>
          <w:lang w:val="en-US" w:eastAsia="zh-CN"/>
        </w:rPr>
        <w:t>支持区域内优质企业开展经常项目轧差净额结算业务。</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w:t>
      </w:r>
      <w:r>
        <w:rPr>
          <w:rFonts w:hint="default" w:ascii="Times New Roman" w:hAnsi="Times New Roman" w:eastAsia="楷体_GB2312" w:cs="Times New Roman"/>
          <w:color w:val="auto"/>
          <w:sz w:val="32"/>
          <w:szCs w:val="32"/>
          <w:highlight w:val="none"/>
          <w:u w:val="none"/>
          <w:lang w:eastAsia="zh-CN"/>
        </w:rPr>
        <w:t>青浦区、中国人民银行上海总部</w:t>
      </w:r>
      <w:r>
        <w:rPr>
          <w:rFonts w:hint="default" w:ascii="Times New Roman" w:hAnsi="Times New Roman" w:eastAsia="楷体_GB2312" w:cs="Times New Roman"/>
          <w:color w:val="auto"/>
          <w:sz w:val="32"/>
          <w:szCs w:val="32"/>
          <w:highlight w:val="none"/>
          <w:u w:val="none"/>
        </w:rPr>
        <w:t>、国家外汇管理局上海市分局</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推动银行对综合保税区内优质企业与其具有关联关系的境外机构间发生的超12个月服务贸易项下代垫或分摊业务，以及与非关联关系的境外机构间发生的服务贸易项下代垫或分摊业务，按照审慎合规的原则，完成真实性、合理性审核后办理。</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w:t>
      </w:r>
      <w:r>
        <w:rPr>
          <w:rFonts w:hint="default" w:ascii="Times New Roman" w:hAnsi="Times New Roman" w:eastAsia="楷体_GB2312" w:cs="Times New Roman"/>
          <w:color w:val="auto"/>
          <w:sz w:val="32"/>
          <w:szCs w:val="32"/>
          <w:highlight w:val="none"/>
          <w:u w:val="none"/>
          <w:lang w:eastAsia="zh-CN"/>
        </w:rPr>
        <w:t>青浦区、</w:t>
      </w:r>
      <w:r>
        <w:rPr>
          <w:rFonts w:hint="default" w:ascii="Times New Roman" w:hAnsi="Times New Roman" w:eastAsia="楷体_GB2312" w:cs="Times New Roman"/>
          <w:color w:val="auto"/>
          <w:sz w:val="32"/>
          <w:szCs w:val="32"/>
          <w:highlight w:val="none"/>
          <w:u w:val="none"/>
        </w:rPr>
        <w:t>国家外汇管理局上海市分局</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eastAsia" w:ascii="Times New Roman" w:hAnsi="Times New Roman" w:eastAsia="仿宋_GB2312" w:cs="Times New Roman"/>
          <w:strike w:val="0"/>
          <w:dstrike w:val="0"/>
          <w:color w:val="auto"/>
          <w:sz w:val="32"/>
          <w:szCs w:val="32"/>
          <w:highlight w:val="none"/>
          <w:u w:val="none"/>
          <w:lang w:val="en-US" w:eastAsia="zh-CN"/>
        </w:rPr>
        <w:t>支持</w:t>
      </w:r>
      <w:r>
        <w:rPr>
          <w:rFonts w:hint="eastAsia" w:ascii="Times New Roman" w:hAnsi="Times New Roman" w:eastAsia="仿宋_GB2312" w:cs="Times New Roman"/>
          <w:sz w:val="32"/>
          <w:szCs w:val="32"/>
          <w:highlight w:val="none"/>
          <w:u w:val="none"/>
          <w:lang w:val="en-US" w:eastAsia="zh-CN"/>
        </w:rPr>
        <w:t>商业</w:t>
      </w:r>
      <w:r>
        <w:rPr>
          <w:rFonts w:hint="default" w:ascii="Times New Roman" w:hAnsi="Times New Roman" w:eastAsia="仿宋_GB2312" w:cs="Times New Roman"/>
          <w:sz w:val="32"/>
          <w:szCs w:val="32"/>
          <w:highlight w:val="none"/>
          <w:u w:val="none"/>
          <w:lang w:val="en-US" w:eastAsia="zh-CN"/>
        </w:rPr>
        <w:t>银行探索优化</w:t>
      </w:r>
      <w:r>
        <w:rPr>
          <w:rFonts w:hint="eastAsia" w:ascii="Times New Roman" w:hAnsi="Times New Roman" w:eastAsia="仿宋_GB2312" w:cs="Times New Roman"/>
          <w:sz w:val="32"/>
          <w:szCs w:val="32"/>
          <w:highlight w:val="none"/>
          <w:u w:val="none"/>
          <w:lang w:val="en-US" w:eastAsia="zh-CN"/>
        </w:rPr>
        <w:t>新型国际贸易</w:t>
      </w:r>
      <w:r>
        <w:rPr>
          <w:rFonts w:hint="default" w:ascii="Times New Roman" w:hAnsi="Times New Roman" w:eastAsia="仿宋_GB2312" w:cs="Times New Roman"/>
          <w:sz w:val="32"/>
          <w:szCs w:val="32"/>
          <w:highlight w:val="none"/>
          <w:u w:val="none"/>
          <w:lang w:val="en-US" w:eastAsia="zh-CN"/>
        </w:rPr>
        <w:t>真实性审核方式，对综合保税区内真实合规的离岸</w:t>
      </w:r>
      <w:r>
        <w:rPr>
          <w:rFonts w:hint="eastAsia" w:ascii="Times New Roman" w:hAnsi="Times New Roman" w:eastAsia="仿宋_GB2312" w:cs="Times New Roman"/>
          <w:sz w:val="32"/>
          <w:szCs w:val="32"/>
          <w:highlight w:val="none"/>
          <w:u w:val="none"/>
          <w:lang w:val="en-US" w:eastAsia="zh-CN"/>
        </w:rPr>
        <w:t>贸易</w:t>
      </w:r>
      <w:r>
        <w:rPr>
          <w:rFonts w:hint="default" w:ascii="Times New Roman" w:hAnsi="Times New Roman" w:eastAsia="仿宋_GB2312" w:cs="Times New Roman"/>
          <w:sz w:val="32"/>
          <w:szCs w:val="32"/>
          <w:highlight w:val="none"/>
          <w:u w:val="none"/>
          <w:lang w:val="en-US" w:eastAsia="zh-CN"/>
        </w:rPr>
        <w:t>业务提供优质金融服务。</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w:t>
      </w:r>
      <w:r>
        <w:rPr>
          <w:rFonts w:hint="default" w:ascii="Times New Roman" w:hAnsi="Times New Roman" w:eastAsia="楷体_GB2312" w:cs="Times New Roman"/>
          <w:color w:val="auto"/>
          <w:sz w:val="32"/>
          <w:szCs w:val="32"/>
          <w:highlight w:val="none"/>
          <w:u w:val="none"/>
          <w:lang w:eastAsia="zh-CN"/>
        </w:rPr>
        <w:t>嘉定区、中国人民银行上海总部</w:t>
      </w:r>
      <w:r>
        <w:rPr>
          <w:rFonts w:hint="default" w:ascii="Times New Roman" w:hAnsi="Times New Roman" w:eastAsia="楷体_GB2312" w:cs="Times New Roman"/>
          <w:color w:val="auto"/>
          <w:sz w:val="32"/>
          <w:szCs w:val="32"/>
          <w:highlight w:val="none"/>
          <w:u w:val="none"/>
        </w:rPr>
        <w:t>、国家外汇管理局上海市分局、市商务委</w:t>
      </w:r>
      <w:r>
        <w:rPr>
          <w:rFonts w:hint="default" w:ascii="Times New Roman" w:hAnsi="Times New Roman" w:eastAsia="仿宋_GB2312" w:cs="Times New Roman"/>
          <w:strike w:val="0"/>
          <w:dstrike w:val="0"/>
          <w:color w:val="auto"/>
          <w:sz w:val="32"/>
          <w:szCs w:val="32"/>
          <w:highlight w:val="none"/>
          <w:u w:val="none"/>
          <w:lang w:val="en-US" w:eastAsia="zh-CN"/>
        </w:rPr>
        <w:t>）</w:t>
      </w:r>
    </w:p>
    <w:p w14:paraId="23C4864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8.提升通关便利化水平。</w:t>
      </w:r>
      <w:r>
        <w:rPr>
          <w:rFonts w:hint="default" w:ascii="Times New Roman" w:hAnsi="Times New Roman" w:eastAsia="仿宋_GB2312" w:cs="Times New Roman"/>
          <w:sz w:val="32"/>
          <w:szCs w:val="32"/>
          <w:highlight w:val="none"/>
          <w:u w:val="none"/>
          <w:lang w:val="en-US" w:eastAsia="zh-CN"/>
        </w:rPr>
        <w:t>推动青浦综合保税区贸易服务线上平台接入上海国际贸易“单一窗口”系统。</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w:t>
      </w:r>
      <w:r>
        <w:rPr>
          <w:rFonts w:hint="default" w:ascii="Times New Roman" w:hAnsi="Times New Roman" w:eastAsia="楷体_GB2312" w:cs="Times New Roman"/>
          <w:color w:val="auto"/>
          <w:sz w:val="32"/>
          <w:szCs w:val="32"/>
          <w:highlight w:val="none"/>
          <w:u w:val="none"/>
          <w:lang w:eastAsia="zh-CN"/>
        </w:rPr>
        <w:t>青浦区、</w:t>
      </w:r>
      <w:r>
        <w:rPr>
          <w:rFonts w:hint="default" w:ascii="Times New Roman" w:hAnsi="Times New Roman" w:eastAsia="楷体_GB2312" w:cs="Times New Roman"/>
          <w:color w:val="auto"/>
          <w:sz w:val="32"/>
          <w:szCs w:val="32"/>
          <w:highlight w:val="none"/>
          <w:u w:val="none"/>
        </w:rPr>
        <w:t>市商务委、市数据局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39CCEA2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i w:val="0"/>
          <w:iCs w:val="0"/>
          <w:sz w:val="32"/>
          <w:szCs w:val="32"/>
          <w:highlight w:val="none"/>
          <w:u w:val="none"/>
          <w:lang w:val="en-US" w:eastAsia="zh-CN"/>
        </w:rPr>
      </w:pPr>
      <w:r>
        <w:rPr>
          <w:rFonts w:hint="default" w:ascii="Times New Roman" w:hAnsi="Times New Roman" w:eastAsia="仿宋_GB2312" w:cs="Times New Roman"/>
          <w:b/>
          <w:bCs/>
          <w:i w:val="0"/>
          <w:iCs w:val="0"/>
          <w:sz w:val="32"/>
          <w:szCs w:val="32"/>
          <w:highlight w:val="none"/>
          <w:u w:val="none"/>
          <w:lang w:val="en-US" w:eastAsia="zh-CN"/>
        </w:rPr>
        <w:t>9.实施冰鲜水产品两段准入监管模式。</w:t>
      </w:r>
      <w:r>
        <w:rPr>
          <w:rFonts w:hint="default" w:ascii="Times New Roman" w:hAnsi="Times New Roman" w:eastAsia="仿宋_GB2312" w:cs="Times New Roman"/>
          <w:i w:val="0"/>
          <w:iCs w:val="0"/>
          <w:sz w:val="32"/>
          <w:szCs w:val="32"/>
          <w:highlight w:val="none"/>
          <w:u w:val="none"/>
          <w:lang w:val="en-US" w:eastAsia="zh-CN"/>
        </w:rPr>
        <w:t>在满足海关指定监管场地实施查检、进口商落实食品安全主体责任、建立境外出口商和生产企业审核制度并配合海关实施监督检查等相关监管要求、开展风险评估基础上，实施冰鲜水产品两段准入监管模式。</w:t>
      </w:r>
      <w:r>
        <w:rPr>
          <w:rFonts w:hint="default" w:ascii="Times New Roman" w:hAnsi="Times New Roman" w:eastAsia="仿宋_GB2312" w:cs="Times New Roman"/>
          <w:i w:val="0"/>
          <w:iCs w:val="0"/>
          <w:strike w:val="0"/>
          <w:dstrike w:val="0"/>
          <w:color w:val="auto"/>
          <w:sz w:val="32"/>
          <w:szCs w:val="32"/>
          <w:highlight w:val="none"/>
          <w:u w:val="none"/>
          <w:lang w:val="en-US" w:eastAsia="zh-CN"/>
        </w:rPr>
        <w:t>（</w:t>
      </w:r>
      <w:r>
        <w:rPr>
          <w:rFonts w:hint="default" w:ascii="Times New Roman" w:hAnsi="Times New Roman" w:eastAsia="楷体_GB2312" w:cs="Times New Roman"/>
          <w:i w:val="0"/>
          <w:iCs w:val="0"/>
          <w:strike w:val="0"/>
          <w:dstrike w:val="0"/>
          <w:color w:val="auto"/>
          <w:sz w:val="32"/>
          <w:szCs w:val="32"/>
          <w:highlight w:val="none"/>
          <w:u w:val="none"/>
          <w:lang w:val="en-US" w:eastAsia="zh-CN"/>
        </w:rPr>
        <w:t>责任单位：</w:t>
      </w:r>
      <w:r>
        <w:rPr>
          <w:rFonts w:hint="default" w:ascii="Times New Roman" w:hAnsi="Times New Roman" w:eastAsia="楷体_GB2312" w:cs="Times New Roman"/>
          <w:i w:val="0"/>
          <w:iCs w:val="0"/>
          <w:color w:val="auto"/>
          <w:sz w:val="32"/>
          <w:szCs w:val="32"/>
          <w:highlight w:val="none"/>
          <w:u w:val="none"/>
          <w:lang w:eastAsia="zh-CN"/>
        </w:rPr>
        <w:t>松江区、青浦区、奉贤区、</w:t>
      </w:r>
      <w:r>
        <w:rPr>
          <w:rFonts w:hint="default" w:ascii="Times New Roman" w:hAnsi="Times New Roman" w:eastAsia="楷体_GB2312" w:cs="Times New Roman"/>
          <w:i w:val="0"/>
          <w:iCs w:val="0"/>
          <w:color w:val="auto"/>
          <w:sz w:val="32"/>
          <w:szCs w:val="32"/>
          <w:highlight w:val="none"/>
          <w:u w:val="none"/>
        </w:rPr>
        <w:t>上海海关、市市场监管局</w:t>
      </w:r>
      <w:r>
        <w:rPr>
          <w:rFonts w:hint="default" w:ascii="Times New Roman" w:hAnsi="Times New Roman" w:eastAsia="仿宋_GB2312" w:cs="Times New Roman"/>
          <w:i w:val="0"/>
          <w:iCs w:val="0"/>
          <w:strike w:val="0"/>
          <w:dstrike w:val="0"/>
          <w:color w:val="auto"/>
          <w:sz w:val="32"/>
          <w:szCs w:val="32"/>
          <w:highlight w:val="none"/>
          <w:u w:val="none"/>
          <w:lang w:val="en-US" w:eastAsia="zh-CN"/>
        </w:rPr>
        <w:t>）</w:t>
      </w:r>
    </w:p>
    <w:p w14:paraId="26C5E6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val="0"/>
          <w:sz w:val="32"/>
          <w:szCs w:val="32"/>
          <w:highlight w:val="none"/>
          <w:u w:val="none"/>
          <w:lang w:val="en-US" w:eastAsia="zh-CN"/>
        </w:rPr>
      </w:pPr>
      <w:r>
        <w:rPr>
          <w:rFonts w:hint="default" w:ascii="Times New Roman" w:hAnsi="Times New Roman" w:eastAsia="黑体" w:cs="Times New Roman"/>
          <w:b w:val="0"/>
          <w:bCs w:val="0"/>
          <w:sz w:val="32"/>
          <w:szCs w:val="32"/>
          <w:highlight w:val="none"/>
          <w:u w:val="none"/>
          <w:lang w:val="en-US" w:eastAsia="zh-CN"/>
        </w:rPr>
        <w:t>三、加强各类要素保障</w:t>
      </w:r>
    </w:p>
    <w:p w14:paraId="02B1003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10.提升土地资源利用效率。</w:t>
      </w:r>
      <w:r>
        <w:rPr>
          <w:rFonts w:hint="default" w:ascii="Times New Roman" w:hAnsi="Times New Roman" w:eastAsia="仿宋_GB2312" w:cs="Times New Roman"/>
          <w:b w:val="0"/>
          <w:bCs w:val="0"/>
          <w:sz w:val="32"/>
          <w:szCs w:val="32"/>
          <w:highlight w:val="none"/>
          <w:u w:val="none"/>
          <w:lang w:val="en-US" w:eastAsia="zh-CN"/>
        </w:rPr>
        <w:t>允许综合保税区开展综合用地改革，在区域内试点实行混合用地、综合用地、创新型产业用地等政策，推进工业、</w:t>
      </w:r>
      <w:r>
        <w:rPr>
          <w:rFonts w:hint="eastAsia" w:ascii="Times New Roman" w:hAnsi="Times New Roman" w:eastAsia="仿宋_GB2312" w:cs="Times New Roman"/>
          <w:b w:val="0"/>
          <w:bCs w:val="0"/>
          <w:sz w:val="32"/>
          <w:szCs w:val="32"/>
          <w:highlight w:val="none"/>
          <w:u w:val="none"/>
          <w:lang w:val="en-US" w:eastAsia="zh-CN"/>
        </w:rPr>
        <w:t>科研、</w:t>
      </w:r>
      <w:r>
        <w:rPr>
          <w:rFonts w:hint="default" w:ascii="Times New Roman" w:hAnsi="Times New Roman" w:eastAsia="仿宋_GB2312" w:cs="Times New Roman"/>
          <w:b w:val="0"/>
          <w:bCs w:val="0"/>
          <w:sz w:val="32"/>
          <w:szCs w:val="32"/>
          <w:highlight w:val="none"/>
          <w:u w:val="none"/>
          <w:lang w:val="en-US" w:eastAsia="zh-CN"/>
        </w:rPr>
        <w:t>办公、中试生产用地等功能混合，鼓励工业上楼，引导科技研发、企业总部管理等创新功能加快集聚。</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w:t>
      </w:r>
      <w:r>
        <w:rPr>
          <w:rFonts w:hint="default" w:ascii="Times New Roman" w:hAnsi="Times New Roman" w:eastAsia="楷体_GB2312" w:cs="Times New Roman"/>
          <w:color w:val="auto"/>
          <w:sz w:val="32"/>
          <w:szCs w:val="32"/>
          <w:highlight w:val="none"/>
          <w:u w:val="none"/>
          <w:lang w:eastAsia="zh-CN"/>
        </w:rPr>
        <w:t>嘉定区、松江区、奉贤区、</w:t>
      </w:r>
      <w:r>
        <w:rPr>
          <w:rFonts w:hint="default" w:ascii="Times New Roman" w:hAnsi="Times New Roman" w:eastAsia="楷体_GB2312" w:cs="Times New Roman"/>
          <w:color w:val="auto"/>
          <w:sz w:val="32"/>
          <w:szCs w:val="32"/>
          <w:highlight w:val="none"/>
          <w:u w:val="none"/>
        </w:rPr>
        <w:t>市规划资源局</w:t>
      </w:r>
      <w:r>
        <w:rPr>
          <w:rFonts w:hint="default" w:ascii="Times New Roman" w:hAnsi="Times New Roman" w:eastAsia="楷体_GB2312" w:cs="Times New Roman"/>
          <w:color w:val="auto"/>
          <w:sz w:val="32"/>
          <w:szCs w:val="32"/>
          <w:highlight w:val="none"/>
          <w:u w:val="none"/>
          <w:lang w:eastAsia="zh-CN"/>
        </w:rPr>
        <w:t>、</w:t>
      </w:r>
      <w:r>
        <w:rPr>
          <w:rFonts w:hint="default" w:ascii="Times New Roman" w:hAnsi="Times New Roman" w:eastAsia="楷体_GB2312" w:cs="Times New Roman"/>
          <w:color w:val="auto"/>
          <w:sz w:val="32"/>
          <w:szCs w:val="32"/>
          <w:highlight w:val="none"/>
          <w:u w:val="none"/>
        </w:rPr>
        <w:t>市经济信息化委、</w:t>
      </w:r>
      <w:r>
        <w:rPr>
          <w:rFonts w:hint="eastAsia" w:ascii="Times New Roman" w:hAnsi="Times New Roman" w:eastAsia="楷体_GB2312" w:cs="Times New Roman"/>
          <w:color w:val="auto"/>
          <w:sz w:val="32"/>
          <w:szCs w:val="32"/>
          <w:highlight w:val="none"/>
          <w:u w:val="none"/>
          <w:lang w:eastAsia="zh-CN"/>
        </w:rPr>
        <w:t>市应急局</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仿宋_GB2312" w:cs="Times New Roman"/>
          <w:b w:val="0"/>
          <w:bCs w:val="0"/>
          <w:sz w:val="32"/>
          <w:szCs w:val="32"/>
          <w:highlight w:val="none"/>
          <w:u w:val="none"/>
          <w:lang w:val="en-US" w:eastAsia="zh-CN"/>
        </w:rPr>
        <w:t>在符合规划要求的前提下，允许区内土地按功能需求适当提高容积率，允许同一地块或同一建筑按规定兼容多种功能。</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w:t>
      </w:r>
      <w:r>
        <w:rPr>
          <w:rFonts w:hint="default" w:ascii="Times New Roman" w:hAnsi="Times New Roman" w:eastAsia="楷体_GB2312" w:cs="Times New Roman"/>
          <w:color w:val="auto"/>
          <w:sz w:val="32"/>
          <w:szCs w:val="32"/>
          <w:highlight w:val="none"/>
          <w:u w:val="none"/>
          <w:lang w:eastAsia="zh-CN"/>
        </w:rPr>
        <w:t>浦东新区、嘉定区、松江区、市</w:t>
      </w:r>
      <w:r>
        <w:rPr>
          <w:rFonts w:hint="default" w:ascii="Times New Roman" w:hAnsi="Times New Roman" w:eastAsia="楷体_GB2312" w:cs="Times New Roman"/>
          <w:color w:val="auto"/>
          <w:sz w:val="32"/>
          <w:szCs w:val="32"/>
          <w:highlight w:val="none"/>
          <w:u w:val="none"/>
        </w:rPr>
        <w:t>规划资源局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53517B1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11.加强人才引进力度。</w:t>
      </w:r>
      <w:r>
        <w:rPr>
          <w:rFonts w:hint="default" w:ascii="Times New Roman" w:hAnsi="Times New Roman" w:eastAsia="仿宋_GB2312" w:cs="Times New Roman"/>
          <w:b w:val="0"/>
          <w:bCs w:val="0"/>
          <w:sz w:val="32"/>
          <w:szCs w:val="32"/>
          <w:highlight w:val="none"/>
          <w:u w:val="none"/>
          <w:lang w:val="en-US" w:eastAsia="zh-CN"/>
        </w:rPr>
        <w:t>加大力度引进高科技人才和技能型人才，提高外国人才工作许可便利，对拟长期在综合保税区工作的高科技领域外籍人才、外国技能型人才和符合综合保税区产业发展方向的外籍人才，可适当放宽年龄、学历和工作经历的限制，符合条件的一次性给予最长2年的工作许可。</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w:t>
      </w:r>
      <w:r>
        <w:rPr>
          <w:rFonts w:hint="default" w:ascii="Times New Roman" w:hAnsi="Times New Roman" w:eastAsia="楷体_GB2312" w:cs="Times New Roman"/>
          <w:color w:val="auto"/>
          <w:sz w:val="32"/>
          <w:szCs w:val="32"/>
          <w:highlight w:val="none"/>
          <w:u w:val="none"/>
          <w:lang w:eastAsia="zh-CN"/>
        </w:rPr>
        <w:t>嘉定区、奉贤区、</w:t>
      </w:r>
      <w:r>
        <w:rPr>
          <w:rFonts w:hint="default" w:ascii="Times New Roman" w:hAnsi="Times New Roman" w:eastAsia="楷体_GB2312" w:cs="Times New Roman"/>
          <w:color w:val="auto"/>
          <w:sz w:val="32"/>
          <w:szCs w:val="32"/>
          <w:highlight w:val="none"/>
          <w:u w:val="none"/>
        </w:rPr>
        <w:t>市公安局出入境管理局</w:t>
      </w:r>
      <w:r>
        <w:rPr>
          <w:rFonts w:hint="default" w:ascii="Times New Roman" w:hAnsi="Times New Roman" w:eastAsia="楷体_GB2312" w:cs="Times New Roman"/>
          <w:color w:val="auto"/>
          <w:sz w:val="32"/>
          <w:szCs w:val="32"/>
          <w:highlight w:val="none"/>
          <w:u w:val="none"/>
          <w:lang w:eastAsia="zh-CN"/>
        </w:rPr>
        <w:t>、</w:t>
      </w:r>
      <w:r>
        <w:rPr>
          <w:rFonts w:hint="default" w:ascii="Times New Roman" w:hAnsi="Times New Roman" w:eastAsia="楷体_GB2312" w:cs="Times New Roman"/>
          <w:color w:val="auto"/>
          <w:sz w:val="32"/>
          <w:szCs w:val="32"/>
          <w:highlight w:val="none"/>
          <w:u w:val="none"/>
        </w:rPr>
        <w:t>市人才工作局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1EE99E9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12.探索航空维修产业职称评审。</w:t>
      </w:r>
      <w:r>
        <w:rPr>
          <w:rFonts w:hint="default" w:ascii="Times New Roman" w:hAnsi="Times New Roman" w:eastAsia="仿宋_GB2312" w:cs="Times New Roman"/>
          <w:b w:val="0"/>
          <w:bCs w:val="0"/>
          <w:sz w:val="32"/>
          <w:szCs w:val="32"/>
          <w:highlight w:val="none"/>
          <w:u w:val="none"/>
          <w:lang w:val="en-US" w:eastAsia="zh-CN"/>
        </w:rPr>
        <w:t>根据航空维修企业需求，结合航空维修产业特点，优化职称评审方式，对参评人员进行综合评审，推动建立与综合保税区主导产业相适应的专业能力评价体系，如航空产业维修、研发、设计、制造领域职称评审体系，开辟航空维修企业职工参与职称评审快捷通道。</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w:t>
      </w:r>
      <w:r>
        <w:rPr>
          <w:rFonts w:hint="default" w:ascii="Times New Roman" w:hAnsi="Times New Roman" w:eastAsia="楷体_GB2312" w:cs="Times New Roman"/>
          <w:color w:val="auto"/>
          <w:sz w:val="32"/>
          <w:szCs w:val="32"/>
          <w:highlight w:val="none"/>
          <w:u w:val="none"/>
          <w:lang w:eastAsia="zh-CN"/>
        </w:rPr>
        <w:t>青浦区、</w:t>
      </w:r>
      <w:r>
        <w:rPr>
          <w:rFonts w:hint="default" w:ascii="Times New Roman" w:hAnsi="Times New Roman" w:eastAsia="楷体_GB2312" w:cs="Times New Roman"/>
          <w:color w:val="auto"/>
          <w:sz w:val="32"/>
          <w:szCs w:val="32"/>
          <w:highlight w:val="none"/>
          <w:u w:val="none"/>
        </w:rPr>
        <w:t>市人力资源社会保障局、市人才工作局、市交通委</w:t>
      </w:r>
      <w:r>
        <w:rPr>
          <w:rFonts w:hint="default" w:ascii="Times New Roman" w:hAnsi="Times New Roman" w:eastAsia="仿宋_GB2312" w:cs="Times New Roman"/>
          <w:strike w:val="0"/>
          <w:dstrike w:val="0"/>
          <w:color w:val="auto"/>
          <w:sz w:val="32"/>
          <w:szCs w:val="32"/>
          <w:highlight w:val="none"/>
          <w:u w:val="none"/>
          <w:lang w:val="en-US" w:eastAsia="zh-CN"/>
        </w:rPr>
        <w:t>）</w:t>
      </w:r>
    </w:p>
    <w:p w14:paraId="73C274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val="0"/>
          <w:sz w:val="32"/>
          <w:szCs w:val="32"/>
          <w:highlight w:val="none"/>
          <w:u w:val="none"/>
          <w:lang w:val="en-US" w:eastAsia="zh-CN"/>
        </w:rPr>
      </w:pPr>
      <w:r>
        <w:rPr>
          <w:rFonts w:hint="default" w:ascii="Times New Roman" w:hAnsi="Times New Roman" w:eastAsia="黑体" w:cs="Times New Roman"/>
          <w:b w:val="0"/>
          <w:bCs w:val="0"/>
          <w:sz w:val="32"/>
          <w:szCs w:val="32"/>
          <w:highlight w:val="none"/>
          <w:u w:val="none"/>
          <w:lang w:val="en-US" w:eastAsia="zh-CN"/>
        </w:rPr>
        <w:t>四、加强区域协同联动</w:t>
      </w:r>
    </w:p>
    <w:p w14:paraId="0029495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13.支持奉贤综合保税区与洋山特殊综合保税区协同发展。</w:t>
      </w:r>
      <w:r>
        <w:rPr>
          <w:rFonts w:hint="default" w:ascii="Times New Roman" w:hAnsi="Times New Roman" w:eastAsia="仿宋_GB2312" w:cs="Times New Roman"/>
          <w:b w:val="0"/>
          <w:bCs w:val="0"/>
          <w:sz w:val="32"/>
          <w:szCs w:val="32"/>
          <w:highlight w:val="none"/>
          <w:u w:val="none"/>
          <w:lang w:val="en-US" w:eastAsia="zh-CN"/>
        </w:rPr>
        <w:t>聚焦洋山特殊综合保税区在制度创新、功能拓展、园区建设等方面的创新举措，推进产业互联、创新互动、优势互补，建立项目信息分享机制，利用奉贤综合保税区现有空间资源，加强在保税研发、保税维修、跨境电商等重点领域的对接合作，集聚一批美丽健康产业。</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w:t>
      </w:r>
      <w:r>
        <w:rPr>
          <w:rFonts w:hint="default" w:ascii="Times New Roman" w:hAnsi="Times New Roman" w:eastAsia="楷体_GB2312" w:cs="Times New Roman"/>
          <w:color w:val="auto"/>
          <w:sz w:val="32"/>
          <w:szCs w:val="32"/>
          <w:highlight w:val="none"/>
          <w:u w:val="none"/>
          <w:lang w:eastAsia="zh-CN"/>
        </w:rPr>
        <w:t>奉贤区、</w:t>
      </w:r>
      <w:r>
        <w:rPr>
          <w:rFonts w:hint="default" w:ascii="Times New Roman" w:hAnsi="Times New Roman" w:eastAsia="楷体_GB2312" w:cs="Times New Roman"/>
          <w:color w:val="auto"/>
          <w:sz w:val="32"/>
          <w:szCs w:val="32"/>
          <w:highlight w:val="none"/>
          <w:u w:val="none"/>
        </w:rPr>
        <w:t>临港新片区管委会</w:t>
      </w:r>
      <w:r>
        <w:rPr>
          <w:rFonts w:hint="default" w:ascii="Times New Roman" w:hAnsi="Times New Roman" w:eastAsia="仿宋_GB2312" w:cs="Times New Roman"/>
          <w:strike w:val="0"/>
          <w:dstrike w:val="0"/>
          <w:color w:val="auto"/>
          <w:sz w:val="32"/>
          <w:szCs w:val="32"/>
          <w:highlight w:val="none"/>
          <w:u w:val="none"/>
          <w:lang w:val="en-US" w:eastAsia="zh-CN"/>
        </w:rPr>
        <w:t>）</w:t>
      </w:r>
    </w:p>
    <w:p w14:paraId="19218D9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14.加快推动青浦综合保税区与长三角区域协同发展。</w:t>
      </w:r>
      <w:r>
        <w:rPr>
          <w:rFonts w:hint="default" w:ascii="Times New Roman" w:hAnsi="Times New Roman" w:eastAsia="仿宋_GB2312" w:cs="Times New Roman"/>
          <w:b w:val="0"/>
          <w:bCs w:val="0"/>
          <w:sz w:val="32"/>
          <w:szCs w:val="32"/>
          <w:highlight w:val="none"/>
          <w:u w:val="none"/>
          <w:lang w:val="en-US" w:eastAsia="zh-CN"/>
        </w:rPr>
        <w:t>推动青浦综合保税区与吴江综合保税区、嘉兴综合保税区B区建设长三角综合保税区一体化发展联盟，开展更多领域、更深层次的合作。充分用好《推动综合保税区高质量发展综合改革实施方案》中关于跨省保税展示的规定，在建立跨直属海关联系配合机制的条件下，允许企业跨关区开展保税展示交易业务。</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w:t>
      </w:r>
      <w:r>
        <w:rPr>
          <w:rFonts w:hint="default" w:ascii="Times New Roman" w:hAnsi="Times New Roman" w:eastAsia="楷体_GB2312" w:cs="Times New Roman"/>
          <w:color w:val="auto"/>
          <w:sz w:val="32"/>
          <w:szCs w:val="32"/>
          <w:highlight w:val="none"/>
          <w:u w:val="none"/>
          <w:lang w:eastAsia="zh-CN"/>
        </w:rPr>
        <w:t>青浦区、</w:t>
      </w:r>
      <w:r>
        <w:rPr>
          <w:rFonts w:hint="default" w:ascii="Times New Roman" w:hAnsi="Times New Roman" w:eastAsia="楷体_GB2312" w:cs="Times New Roman"/>
          <w:color w:val="auto"/>
          <w:sz w:val="32"/>
          <w:szCs w:val="32"/>
          <w:highlight w:val="none"/>
          <w:u w:val="none"/>
        </w:rPr>
        <w:t>市发展改革委、上海海关</w:t>
      </w:r>
      <w:r>
        <w:rPr>
          <w:rFonts w:hint="default" w:ascii="Times New Roman" w:hAnsi="Times New Roman" w:eastAsia="仿宋_GB2312" w:cs="Times New Roman"/>
          <w:strike w:val="0"/>
          <w:dstrike w:val="0"/>
          <w:color w:val="auto"/>
          <w:sz w:val="32"/>
          <w:szCs w:val="32"/>
          <w:highlight w:val="none"/>
          <w:u w:val="none"/>
          <w:lang w:val="en-US" w:eastAsia="zh-CN"/>
        </w:rPr>
        <w:t>）</w:t>
      </w:r>
    </w:p>
    <w:p w14:paraId="5EAB847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15.支持综合保税区承接进博会溢出带动效应。</w:t>
      </w:r>
      <w:r>
        <w:rPr>
          <w:rFonts w:hint="default" w:ascii="Times New Roman" w:hAnsi="Times New Roman" w:eastAsia="仿宋_GB2312" w:cs="Times New Roman"/>
          <w:b w:val="0"/>
          <w:bCs w:val="0"/>
          <w:sz w:val="32"/>
          <w:szCs w:val="32"/>
          <w:highlight w:val="none"/>
          <w:u w:val="none"/>
          <w:lang w:val="en-US" w:eastAsia="zh-CN"/>
        </w:rPr>
        <w:t>依托进口商品展销中心等平台，引进培育一批医疗器械、智能汽车、珠宝玉石、化妆品、食品酒类等高附加值产品进口专业贸易平台，促进贸易通道对接、平台互通、主体共育。推动综合保税区与进口商品展销中心等进口专业贸易平台对接合作，加强以“保税展示交易”形式在进博会进行布展，创新建设集商品进口、保税仓储、展示销售、售后服务、政策咨询等具有综合示范功能的进口贸易服务链，并在贸易结算等方面给予便利化支持。</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w:t>
      </w:r>
      <w:r>
        <w:rPr>
          <w:rFonts w:hint="default" w:ascii="Times New Roman" w:hAnsi="Times New Roman" w:eastAsia="楷体_GB2312" w:cs="Times New Roman"/>
          <w:color w:val="auto"/>
          <w:sz w:val="32"/>
          <w:szCs w:val="32"/>
          <w:highlight w:val="none"/>
          <w:u w:val="none"/>
          <w:lang w:eastAsia="zh-CN"/>
        </w:rPr>
        <w:t>青浦区、</w:t>
      </w:r>
      <w:r>
        <w:rPr>
          <w:rFonts w:hint="default" w:ascii="Times New Roman" w:hAnsi="Times New Roman" w:eastAsia="楷体_GB2312" w:cs="Times New Roman"/>
          <w:color w:val="auto"/>
          <w:sz w:val="32"/>
          <w:szCs w:val="32"/>
          <w:highlight w:val="none"/>
          <w:u w:val="none"/>
        </w:rPr>
        <w:t>市商务委、上海海关、市市场监管局、国家外汇管理局上海市分局</w:t>
      </w:r>
      <w:r>
        <w:rPr>
          <w:rFonts w:hint="default" w:ascii="Times New Roman" w:hAnsi="Times New Roman" w:eastAsia="仿宋_GB2312" w:cs="Times New Roman"/>
          <w:strike w:val="0"/>
          <w:dstrike w:val="0"/>
          <w:color w:val="auto"/>
          <w:sz w:val="32"/>
          <w:szCs w:val="32"/>
          <w:highlight w:val="none"/>
          <w:u w:val="none"/>
          <w:lang w:val="en-US"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18030">
    <w:altName w:val="楷体_GB2312"/>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4A6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AEEA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6AEEA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lYjQwMGI5MzYxZWViNWZjOGQyMWQ2NWIyZjllMWIifQ=="/>
  </w:docVars>
  <w:rsids>
    <w:rsidRoot w:val="00D92E8B"/>
    <w:rsid w:val="000649C2"/>
    <w:rsid w:val="001A2A33"/>
    <w:rsid w:val="001A5633"/>
    <w:rsid w:val="002445C0"/>
    <w:rsid w:val="002652E3"/>
    <w:rsid w:val="00290610"/>
    <w:rsid w:val="00347D5A"/>
    <w:rsid w:val="0046757B"/>
    <w:rsid w:val="00491870"/>
    <w:rsid w:val="004D7307"/>
    <w:rsid w:val="00520FA0"/>
    <w:rsid w:val="00730CFB"/>
    <w:rsid w:val="00765743"/>
    <w:rsid w:val="008E7CA0"/>
    <w:rsid w:val="0090433D"/>
    <w:rsid w:val="0098283A"/>
    <w:rsid w:val="009B6F4D"/>
    <w:rsid w:val="00A3259F"/>
    <w:rsid w:val="00C032CA"/>
    <w:rsid w:val="00C26BA2"/>
    <w:rsid w:val="00C440D9"/>
    <w:rsid w:val="00D92E8B"/>
    <w:rsid w:val="00E04012"/>
    <w:rsid w:val="00E5769F"/>
    <w:rsid w:val="00E8227B"/>
    <w:rsid w:val="00E9531C"/>
    <w:rsid w:val="00FE49D9"/>
    <w:rsid w:val="09837CAA"/>
    <w:rsid w:val="09BBDA8D"/>
    <w:rsid w:val="0D5D2312"/>
    <w:rsid w:val="0F3F15EA"/>
    <w:rsid w:val="178FA64D"/>
    <w:rsid w:val="197B5754"/>
    <w:rsid w:val="1BD6DC43"/>
    <w:rsid w:val="1C78020C"/>
    <w:rsid w:val="1ECD10A3"/>
    <w:rsid w:val="1EDCC698"/>
    <w:rsid w:val="1F7648CB"/>
    <w:rsid w:val="1FFDD2A3"/>
    <w:rsid w:val="227B7BE7"/>
    <w:rsid w:val="23F30FBF"/>
    <w:rsid w:val="25E7261B"/>
    <w:rsid w:val="274EA172"/>
    <w:rsid w:val="27FF196C"/>
    <w:rsid w:val="2B77FC65"/>
    <w:rsid w:val="2BD46DDB"/>
    <w:rsid w:val="2BF5E8FD"/>
    <w:rsid w:val="2BF737B8"/>
    <w:rsid w:val="2CFF8A33"/>
    <w:rsid w:val="2D3BB58D"/>
    <w:rsid w:val="2D5573ED"/>
    <w:rsid w:val="2DF5106E"/>
    <w:rsid w:val="2DF7129D"/>
    <w:rsid w:val="2DFB338A"/>
    <w:rsid w:val="2DFF9D8C"/>
    <w:rsid w:val="2E6C9C78"/>
    <w:rsid w:val="2E7F6635"/>
    <w:rsid w:val="2EEF2627"/>
    <w:rsid w:val="2EFE790D"/>
    <w:rsid w:val="2F27E8F5"/>
    <w:rsid w:val="2F56A545"/>
    <w:rsid w:val="2FEF5A8A"/>
    <w:rsid w:val="31FFDBD0"/>
    <w:rsid w:val="32DF8D88"/>
    <w:rsid w:val="337AF1EF"/>
    <w:rsid w:val="34EE5F47"/>
    <w:rsid w:val="35FEAFB8"/>
    <w:rsid w:val="363962F2"/>
    <w:rsid w:val="36FB77AD"/>
    <w:rsid w:val="37576857"/>
    <w:rsid w:val="37679C47"/>
    <w:rsid w:val="377F6801"/>
    <w:rsid w:val="37C5FF68"/>
    <w:rsid w:val="37DEC58F"/>
    <w:rsid w:val="37F64A71"/>
    <w:rsid w:val="3A5C7F02"/>
    <w:rsid w:val="3AD6F8B2"/>
    <w:rsid w:val="3AFFC009"/>
    <w:rsid w:val="3B3314BE"/>
    <w:rsid w:val="3C7D93EF"/>
    <w:rsid w:val="3C7F5ADD"/>
    <w:rsid w:val="3CEE73CC"/>
    <w:rsid w:val="3DA962B7"/>
    <w:rsid w:val="3DBE78E6"/>
    <w:rsid w:val="3DD3DA97"/>
    <w:rsid w:val="3DFA280E"/>
    <w:rsid w:val="3DFE8F32"/>
    <w:rsid w:val="3DFF5B54"/>
    <w:rsid w:val="3DFF72C5"/>
    <w:rsid w:val="3E3FA32C"/>
    <w:rsid w:val="3EBF6FF1"/>
    <w:rsid w:val="3ECFA009"/>
    <w:rsid w:val="3ECFB0EE"/>
    <w:rsid w:val="3EFB86D1"/>
    <w:rsid w:val="3EFD2ED1"/>
    <w:rsid w:val="3EFEE61D"/>
    <w:rsid w:val="3F579CA1"/>
    <w:rsid w:val="3F57ACA7"/>
    <w:rsid w:val="3F9ADFF6"/>
    <w:rsid w:val="3FB5B5E7"/>
    <w:rsid w:val="3FEF5DBA"/>
    <w:rsid w:val="3FF59049"/>
    <w:rsid w:val="3FF7AD99"/>
    <w:rsid w:val="3FFB751A"/>
    <w:rsid w:val="3FFD1677"/>
    <w:rsid w:val="447DF922"/>
    <w:rsid w:val="45F71A49"/>
    <w:rsid w:val="465D5285"/>
    <w:rsid w:val="46EB1C21"/>
    <w:rsid w:val="47F652EB"/>
    <w:rsid w:val="47FF4031"/>
    <w:rsid w:val="4B2F2B6F"/>
    <w:rsid w:val="4BB8B46F"/>
    <w:rsid w:val="4CB3DAD4"/>
    <w:rsid w:val="4DFFBACF"/>
    <w:rsid w:val="4EFFF97A"/>
    <w:rsid w:val="539D5C67"/>
    <w:rsid w:val="53EA8DCF"/>
    <w:rsid w:val="556B89D4"/>
    <w:rsid w:val="55AAE63F"/>
    <w:rsid w:val="55BFC0C3"/>
    <w:rsid w:val="55EE2C8A"/>
    <w:rsid w:val="571D4A5D"/>
    <w:rsid w:val="576C53E4"/>
    <w:rsid w:val="57E75623"/>
    <w:rsid w:val="585F2022"/>
    <w:rsid w:val="58C81F42"/>
    <w:rsid w:val="597FF73F"/>
    <w:rsid w:val="59B98D61"/>
    <w:rsid w:val="59C9307B"/>
    <w:rsid w:val="5A6951E1"/>
    <w:rsid w:val="5B579090"/>
    <w:rsid w:val="5BA51460"/>
    <w:rsid w:val="5BDDAC0F"/>
    <w:rsid w:val="5BF732D0"/>
    <w:rsid w:val="5BFE259B"/>
    <w:rsid w:val="5BFF52C1"/>
    <w:rsid w:val="5BFF8570"/>
    <w:rsid w:val="5C7334FE"/>
    <w:rsid w:val="5CE7C3D4"/>
    <w:rsid w:val="5CFD4692"/>
    <w:rsid w:val="5D6F2A97"/>
    <w:rsid w:val="5DEF11B9"/>
    <w:rsid w:val="5DFB74F2"/>
    <w:rsid w:val="5E66243C"/>
    <w:rsid w:val="5E7F8205"/>
    <w:rsid w:val="5EE3277B"/>
    <w:rsid w:val="5EFF15FD"/>
    <w:rsid w:val="5F27F8EB"/>
    <w:rsid w:val="5F36250B"/>
    <w:rsid w:val="5F4BC6E5"/>
    <w:rsid w:val="5F59F4C8"/>
    <w:rsid w:val="5F5ECDB7"/>
    <w:rsid w:val="5F6F0556"/>
    <w:rsid w:val="5F776B37"/>
    <w:rsid w:val="5FBD04E3"/>
    <w:rsid w:val="5FBF2535"/>
    <w:rsid w:val="5FDF62C7"/>
    <w:rsid w:val="5FDF71D0"/>
    <w:rsid w:val="5FE635B6"/>
    <w:rsid w:val="5FF30ED6"/>
    <w:rsid w:val="5FF71EF5"/>
    <w:rsid w:val="5FFB55E8"/>
    <w:rsid w:val="5FFF9F81"/>
    <w:rsid w:val="5FFFC740"/>
    <w:rsid w:val="5FFFFF13"/>
    <w:rsid w:val="627AB5F8"/>
    <w:rsid w:val="637E7A9F"/>
    <w:rsid w:val="63EFFA08"/>
    <w:rsid w:val="63FF7FAC"/>
    <w:rsid w:val="666774D1"/>
    <w:rsid w:val="669FE941"/>
    <w:rsid w:val="677E8850"/>
    <w:rsid w:val="67CFA52A"/>
    <w:rsid w:val="67E34E02"/>
    <w:rsid w:val="67F7F04A"/>
    <w:rsid w:val="67FF51A0"/>
    <w:rsid w:val="67FF991A"/>
    <w:rsid w:val="6877028A"/>
    <w:rsid w:val="68FD41F9"/>
    <w:rsid w:val="69492723"/>
    <w:rsid w:val="69CCF20F"/>
    <w:rsid w:val="69DD2DA0"/>
    <w:rsid w:val="6A9F9045"/>
    <w:rsid w:val="6B16E408"/>
    <w:rsid w:val="6B2FEE4F"/>
    <w:rsid w:val="6B3BB273"/>
    <w:rsid w:val="6BBDCFCA"/>
    <w:rsid w:val="6BCF71ED"/>
    <w:rsid w:val="6BDB48E3"/>
    <w:rsid w:val="6BF7E3C6"/>
    <w:rsid w:val="6BFF85EB"/>
    <w:rsid w:val="6CDFD5E2"/>
    <w:rsid w:val="6CFDF870"/>
    <w:rsid w:val="6D5C0DE7"/>
    <w:rsid w:val="6DE7A556"/>
    <w:rsid w:val="6DEB63C2"/>
    <w:rsid w:val="6DFDD99E"/>
    <w:rsid w:val="6E4F9796"/>
    <w:rsid w:val="6E6FD2F3"/>
    <w:rsid w:val="6E9F5ED3"/>
    <w:rsid w:val="6EDF5741"/>
    <w:rsid w:val="6EF5CD05"/>
    <w:rsid w:val="6EFA768F"/>
    <w:rsid w:val="6EFD8036"/>
    <w:rsid w:val="6F2F905E"/>
    <w:rsid w:val="6F3F99D4"/>
    <w:rsid w:val="6F6FDD75"/>
    <w:rsid w:val="6F7F600D"/>
    <w:rsid w:val="6FAFE84C"/>
    <w:rsid w:val="6FB94BD2"/>
    <w:rsid w:val="6FBB6BBB"/>
    <w:rsid w:val="6FDA52A2"/>
    <w:rsid w:val="6FEBB6F2"/>
    <w:rsid w:val="6FF337DF"/>
    <w:rsid w:val="6FF59707"/>
    <w:rsid w:val="6FF645FC"/>
    <w:rsid w:val="6FF7FCB6"/>
    <w:rsid w:val="6FFD362E"/>
    <w:rsid w:val="6FFF1583"/>
    <w:rsid w:val="71AE125B"/>
    <w:rsid w:val="723F4B4B"/>
    <w:rsid w:val="72FF8BFA"/>
    <w:rsid w:val="734B2560"/>
    <w:rsid w:val="73538302"/>
    <w:rsid w:val="737F5752"/>
    <w:rsid w:val="73BE071E"/>
    <w:rsid w:val="73C729E6"/>
    <w:rsid w:val="73F6D58F"/>
    <w:rsid w:val="73FF44B9"/>
    <w:rsid w:val="73FFF955"/>
    <w:rsid w:val="75075B74"/>
    <w:rsid w:val="756FB59F"/>
    <w:rsid w:val="75BD8027"/>
    <w:rsid w:val="75F3B83C"/>
    <w:rsid w:val="75FDA63B"/>
    <w:rsid w:val="766F3DD8"/>
    <w:rsid w:val="76A5005C"/>
    <w:rsid w:val="76CFF26B"/>
    <w:rsid w:val="76E7A07B"/>
    <w:rsid w:val="76FAC7E4"/>
    <w:rsid w:val="775A9AF7"/>
    <w:rsid w:val="777FFE26"/>
    <w:rsid w:val="77B74394"/>
    <w:rsid w:val="77D7E87F"/>
    <w:rsid w:val="77E57736"/>
    <w:rsid w:val="77F37909"/>
    <w:rsid w:val="77F68179"/>
    <w:rsid w:val="77F7E396"/>
    <w:rsid w:val="77FBFF2D"/>
    <w:rsid w:val="77FE2368"/>
    <w:rsid w:val="781F9259"/>
    <w:rsid w:val="78E72D7B"/>
    <w:rsid w:val="793E0D0A"/>
    <w:rsid w:val="796BF4B2"/>
    <w:rsid w:val="797F6A82"/>
    <w:rsid w:val="79FF7340"/>
    <w:rsid w:val="7A4FD679"/>
    <w:rsid w:val="7A9E0781"/>
    <w:rsid w:val="7A9FD41B"/>
    <w:rsid w:val="7AA209FF"/>
    <w:rsid w:val="7AAAD360"/>
    <w:rsid w:val="7AD44BD0"/>
    <w:rsid w:val="7AEFDC5B"/>
    <w:rsid w:val="7AFF51F1"/>
    <w:rsid w:val="7B2FA937"/>
    <w:rsid w:val="7B5F4AF6"/>
    <w:rsid w:val="7B68CABC"/>
    <w:rsid w:val="7B7D001C"/>
    <w:rsid w:val="7B9FAD64"/>
    <w:rsid w:val="7BBD5FF3"/>
    <w:rsid w:val="7BBDC340"/>
    <w:rsid w:val="7BBF067D"/>
    <w:rsid w:val="7BBF5781"/>
    <w:rsid w:val="7BBFE39A"/>
    <w:rsid w:val="7BC39C66"/>
    <w:rsid w:val="7BD4ED73"/>
    <w:rsid w:val="7BD55900"/>
    <w:rsid w:val="7BDC862B"/>
    <w:rsid w:val="7BDF6E7C"/>
    <w:rsid w:val="7BEF8FB0"/>
    <w:rsid w:val="7BF44501"/>
    <w:rsid w:val="7BF75D2F"/>
    <w:rsid w:val="7BF99B2A"/>
    <w:rsid w:val="7BF9CA76"/>
    <w:rsid w:val="7BFB13E7"/>
    <w:rsid w:val="7BFB5DB8"/>
    <w:rsid w:val="7BFD5F07"/>
    <w:rsid w:val="7BFEFB4E"/>
    <w:rsid w:val="7BFF06E3"/>
    <w:rsid w:val="7BFF4294"/>
    <w:rsid w:val="7BFF699C"/>
    <w:rsid w:val="7C8E049A"/>
    <w:rsid w:val="7CED0380"/>
    <w:rsid w:val="7CEF734F"/>
    <w:rsid w:val="7CF66288"/>
    <w:rsid w:val="7D1EE8CA"/>
    <w:rsid w:val="7D7DC724"/>
    <w:rsid w:val="7DAE7800"/>
    <w:rsid w:val="7DB78C29"/>
    <w:rsid w:val="7DBF9BDF"/>
    <w:rsid w:val="7DD380E1"/>
    <w:rsid w:val="7DFAEBC5"/>
    <w:rsid w:val="7DFB36D6"/>
    <w:rsid w:val="7DFDBD5F"/>
    <w:rsid w:val="7DFF88A5"/>
    <w:rsid w:val="7E7BA349"/>
    <w:rsid w:val="7EBBD3C5"/>
    <w:rsid w:val="7EBEF731"/>
    <w:rsid w:val="7EC7B83B"/>
    <w:rsid w:val="7ECD4E7B"/>
    <w:rsid w:val="7EFC6952"/>
    <w:rsid w:val="7EFF1767"/>
    <w:rsid w:val="7EFFFF05"/>
    <w:rsid w:val="7F3B62F3"/>
    <w:rsid w:val="7F3F3EEA"/>
    <w:rsid w:val="7F5F2BA0"/>
    <w:rsid w:val="7F6FAC1A"/>
    <w:rsid w:val="7F738FA1"/>
    <w:rsid w:val="7F7536DC"/>
    <w:rsid w:val="7F77828B"/>
    <w:rsid w:val="7F7B38BC"/>
    <w:rsid w:val="7F7F6BE2"/>
    <w:rsid w:val="7F7F8D4E"/>
    <w:rsid w:val="7F7FB0DC"/>
    <w:rsid w:val="7F7FF56A"/>
    <w:rsid w:val="7F861585"/>
    <w:rsid w:val="7FA546B3"/>
    <w:rsid w:val="7FAF6B9B"/>
    <w:rsid w:val="7FB60F0E"/>
    <w:rsid w:val="7FB97135"/>
    <w:rsid w:val="7FBEED3C"/>
    <w:rsid w:val="7FBF809D"/>
    <w:rsid w:val="7FCCD4D4"/>
    <w:rsid w:val="7FD3965D"/>
    <w:rsid w:val="7FDBC0C1"/>
    <w:rsid w:val="7FDBC0E8"/>
    <w:rsid w:val="7FDBCC1C"/>
    <w:rsid w:val="7FDDC67F"/>
    <w:rsid w:val="7FDF1E06"/>
    <w:rsid w:val="7FE00F88"/>
    <w:rsid w:val="7FEC5938"/>
    <w:rsid w:val="7FEF6BBE"/>
    <w:rsid w:val="7FEF955A"/>
    <w:rsid w:val="7FEF9605"/>
    <w:rsid w:val="7FEFFADE"/>
    <w:rsid w:val="7FF7C0B7"/>
    <w:rsid w:val="7FFCEE98"/>
    <w:rsid w:val="7FFD5A7E"/>
    <w:rsid w:val="7FFE4F1D"/>
    <w:rsid w:val="7FFE905E"/>
    <w:rsid w:val="7FFF5239"/>
    <w:rsid w:val="7FFF5A0A"/>
    <w:rsid w:val="7FFFDB60"/>
    <w:rsid w:val="8FAF213E"/>
    <w:rsid w:val="95F76EE7"/>
    <w:rsid w:val="97FC7D58"/>
    <w:rsid w:val="9BFE9544"/>
    <w:rsid w:val="9C86CB2A"/>
    <w:rsid w:val="9CBB0104"/>
    <w:rsid w:val="9CFFF9F6"/>
    <w:rsid w:val="9D2E500D"/>
    <w:rsid w:val="9E9EC5F8"/>
    <w:rsid w:val="9EBF3F67"/>
    <w:rsid w:val="9F2EE3BB"/>
    <w:rsid w:val="9F3B1458"/>
    <w:rsid w:val="9F67FCAE"/>
    <w:rsid w:val="9F77369A"/>
    <w:rsid w:val="9FBB2266"/>
    <w:rsid w:val="9FBF62FB"/>
    <w:rsid w:val="9FBFBAC7"/>
    <w:rsid w:val="9FF71D56"/>
    <w:rsid w:val="9FFE3633"/>
    <w:rsid w:val="9FFE9AC6"/>
    <w:rsid w:val="9FFFDBF4"/>
    <w:rsid w:val="A3DE60B1"/>
    <w:rsid w:val="A5CB2CC3"/>
    <w:rsid w:val="A6F7D3C2"/>
    <w:rsid w:val="A7AF3B86"/>
    <w:rsid w:val="A7BE599E"/>
    <w:rsid w:val="A9FF5F1F"/>
    <w:rsid w:val="AD266993"/>
    <w:rsid w:val="ADFB5397"/>
    <w:rsid w:val="AE8C063C"/>
    <w:rsid w:val="AEE6008C"/>
    <w:rsid w:val="AFBF2774"/>
    <w:rsid w:val="B3DFD576"/>
    <w:rsid w:val="B3FD7486"/>
    <w:rsid w:val="B4FF577E"/>
    <w:rsid w:val="B5CEB7B1"/>
    <w:rsid w:val="B72C4184"/>
    <w:rsid w:val="B73FF55E"/>
    <w:rsid w:val="B77ED117"/>
    <w:rsid w:val="B79FC095"/>
    <w:rsid w:val="B7B74340"/>
    <w:rsid w:val="B7EFAB41"/>
    <w:rsid w:val="B7FDD04D"/>
    <w:rsid w:val="B8C36DBE"/>
    <w:rsid w:val="B9FF354A"/>
    <w:rsid w:val="BAB7B39A"/>
    <w:rsid w:val="BBFF8D46"/>
    <w:rsid w:val="BDFFA07D"/>
    <w:rsid w:val="BDFFCC5D"/>
    <w:rsid w:val="BE55F3DC"/>
    <w:rsid w:val="BE7F814F"/>
    <w:rsid w:val="BEBAD78D"/>
    <w:rsid w:val="BEF7CCF8"/>
    <w:rsid w:val="BF163E46"/>
    <w:rsid w:val="BF3F07EA"/>
    <w:rsid w:val="BF6370CD"/>
    <w:rsid w:val="BF67A124"/>
    <w:rsid w:val="BF7BC8D0"/>
    <w:rsid w:val="BF7DA331"/>
    <w:rsid w:val="BF7E22E1"/>
    <w:rsid w:val="BF7F74E8"/>
    <w:rsid w:val="BF7F81E2"/>
    <w:rsid w:val="BFB7682B"/>
    <w:rsid w:val="BFBFE11E"/>
    <w:rsid w:val="BFDFF473"/>
    <w:rsid w:val="BFE72249"/>
    <w:rsid w:val="BFEA5B96"/>
    <w:rsid w:val="BFF73E30"/>
    <w:rsid w:val="BFFB30F3"/>
    <w:rsid w:val="BFFE1528"/>
    <w:rsid w:val="BFFF3D4E"/>
    <w:rsid w:val="C12FDABF"/>
    <w:rsid w:val="C5DC0635"/>
    <w:rsid w:val="C5FE05FE"/>
    <w:rsid w:val="C6BDF002"/>
    <w:rsid w:val="C7D799C8"/>
    <w:rsid w:val="C7EE59C2"/>
    <w:rsid w:val="C7EF48A1"/>
    <w:rsid w:val="C7FFDEF7"/>
    <w:rsid w:val="C8EEB1E2"/>
    <w:rsid w:val="CACA6082"/>
    <w:rsid w:val="CAEEA170"/>
    <w:rsid w:val="CB69A634"/>
    <w:rsid w:val="CBFF5165"/>
    <w:rsid w:val="CCCFC48F"/>
    <w:rsid w:val="CCF2236A"/>
    <w:rsid w:val="CDA7577F"/>
    <w:rsid w:val="CDE7CE46"/>
    <w:rsid w:val="CEFD3D0B"/>
    <w:rsid w:val="CFA75123"/>
    <w:rsid w:val="D3FE1595"/>
    <w:rsid w:val="D3FF81A7"/>
    <w:rsid w:val="D6FF436C"/>
    <w:rsid w:val="D6FFF3DB"/>
    <w:rsid w:val="D74E7A76"/>
    <w:rsid w:val="D7BB3711"/>
    <w:rsid w:val="D7DA7AE9"/>
    <w:rsid w:val="D7EF657E"/>
    <w:rsid w:val="D7FF8A6C"/>
    <w:rsid w:val="D9751610"/>
    <w:rsid w:val="D9BD9FD8"/>
    <w:rsid w:val="D9E7CC14"/>
    <w:rsid w:val="D9F72F4A"/>
    <w:rsid w:val="DB73B872"/>
    <w:rsid w:val="DBC749E4"/>
    <w:rsid w:val="DBCF4516"/>
    <w:rsid w:val="DBD726B5"/>
    <w:rsid w:val="DBFAE38C"/>
    <w:rsid w:val="DCBF5D99"/>
    <w:rsid w:val="DDDF70FF"/>
    <w:rsid w:val="DDEF0B18"/>
    <w:rsid w:val="DDEF61A1"/>
    <w:rsid w:val="DDFFF335"/>
    <w:rsid w:val="DED13EDD"/>
    <w:rsid w:val="DEFF6C92"/>
    <w:rsid w:val="DF38E60C"/>
    <w:rsid w:val="DF3BCF11"/>
    <w:rsid w:val="DF7B7721"/>
    <w:rsid w:val="DF7BF1F4"/>
    <w:rsid w:val="DF7DA0AF"/>
    <w:rsid w:val="DF7DD558"/>
    <w:rsid w:val="DFAF6586"/>
    <w:rsid w:val="DFAF77B1"/>
    <w:rsid w:val="DFBE76FA"/>
    <w:rsid w:val="DFBEBB85"/>
    <w:rsid w:val="DFCCC454"/>
    <w:rsid w:val="DFFB1F57"/>
    <w:rsid w:val="DFFB2388"/>
    <w:rsid w:val="DFFB4B4B"/>
    <w:rsid w:val="DFFBBDF9"/>
    <w:rsid w:val="DFFD098F"/>
    <w:rsid w:val="DFFF4D65"/>
    <w:rsid w:val="E3BD18AD"/>
    <w:rsid w:val="E3FAE143"/>
    <w:rsid w:val="E5F3766C"/>
    <w:rsid w:val="E5FF1B02"/>
    <w:rsid w:val="E6BB5820"/>
    <w:rsid w:val="E77FEEA0"/>
    <w:rsid w:val="E78FDB95"/>
    <w:rsid w:val="E7B72378"/>
    <w:rsid w:val="E7BD7083"/>
    <w:rsid w:val="E7CFD31C"/>
    <w:rsid w:val="E7ED51C7"/>
    <w:rsid w:val="E97DC54E"/>
    <w:rsid w:val="E99D3FCB"/>
    <w:rsid w:val="EB7F15E8"/>
    <w:rsid w:val="EB894E44"/>
    <w:rsid w:val="EBFBDB6B"/>
    <w:rsid w:val="ECF1F01E"/>
    <w:rsid w:val="ECF7ECBD"/>
    <w:rsid w:val="ED8D79D7"/>
    <w:rsid w:val="EDEED003"/>
    <w:rsid w:val="EDF9446D"/>
    <w:rsid w:val="EDFF1D18"/>
    <w:rsid w:val="EE6EA325"/>
    <w:rsid w:val="EE7D828A"/>
    <w:rsid w:val="EEF90FEA"/>
    <w:rsid w:val="EF3FCC9C"/>
    <w:rsid w:val="EF6F588D"/>
    <w:rsid w:val="EF7F2ADF"/>
    <w:rsid w:val="EF7F86F0"/>
    <w:rsid w:val="EFAE9A6A"/>
    <w:rsid w:val="EFC86F88"/>
    <w:rsid w:val="EFCF300C"/>
    <w:rsid w:val="EFDF75B9"/>
    <w:rsid w:val="EFEE3DB6"/>
    <w:rsid w:val="EFF2B3C3"/>
    <w:rsid w:val="EFFB3F27"/>
    <w:rsid w:val="EFFF8ADF"/>
    <w:rsid w:val="EFFFEBC5"/>
    <w:rsid w:val="F2BF8787"/>
    <w:rsid w:val="F2FF5F11"/>
    <w:rsid w:val="F3417625"/>
    <w:rsid w:val="F363A546"/>
    <w:rsid w:val="F3BFA88F"/>
    <w:rsid w:val="F41B66BF"/>
    <w:rsid w:val="F46A2BE0"/>
    <w:rsid w:val="F47D8073"/>
    <w:rsid w:val="F49C571D"/>
    <w:rsid w:val="F5581E51"/>
    <w:rsid w:val="F5EEAB17"/>
    <w:rsid w:val="F6DC11A9"/>
    <w:rsid w:val="F6EB86E7"/>
    <w:rsid w:val="F6F6042F"/>
    <w:rsid w:val="F75E81C2"/>
    <w:rsid w:val="F76633BF"/>
    <w:rsid w:val="F7971359"/>
    <w:rsid w:val="F79B30D1"/>
    <w:rsid w:val="F7BB2094"/>
    <w:rsid w:val="F7BE4215"/>
    <w:rsid w:val="F7CF7F7A"/>
    <w:rsid w:val="F7D9408B"/>
    <w:rsid w:val="F7DF174B"/>
    <w:rsid w:val="F7DF981F"/>
    <w:rsid w:val="F7E7AECB"/>
    <w:rsid w:val="F7EF08B6"/>
    <w:rsid w:val="F7F52D5A"/>
    <w:rsid w:val="F7FD2322"/>
    <w:rsid w:val="F7FDFA0A"/>
    <w:rsid w:val="F7FF0AEE"/>
    <w:rsid w:val="F7FF5A1F"/>
    <w:rsid w:val="F7FF6A31"/>
    <w:rsid w:val="F7FF6AD4"/>
    <w:rsid w:val="F87FEE81"/>
    <w:rsid w:val="F9B66DAF"/>
    <w:rsid w:val="F9DDFFA2"/>
    <w:rsid w:val="F9ED7B92"/>
    <w:rsid w:val="F9F706EC"/>
    <w:rsid w:val="F9F7EC13"/>
    <w:rsid w:val="FAAF8102"/>
    <w:rsid w:val="FADFEE9D"/>
    <w:rsid w:val="FAEFD0CE"/>
    <w:rsid w:val="FAFE2A5A"/>
    <w:rsid w:val="FB1DB9F8"/>
    <w:rsid w:val="FB7E6DA8"/>
    <w:rsid w:val="FBA7247D"/>
    <w:rsid w:val="FBD5E8E6"/>
    <w:rsid w:val="FBDA6ECF"/>
    <w:rsid w:val="FBDB64F5"/>
    <w:rsid w:val="FBE3D718"/>
    <w:rsid w:val="FBEF7CAA"/>
    <w:rsid w:val="FBF468FD"/>
    <w:rsid w:val="FBF7BBBD"/>
    <w:rsid w:val="FBFB3D9D"/>
    <w:rsid w:val="FBFD03C7"/>
    <w:rsid w:val="FBFE8C96"/>
    <w:rsid w:val="FBFEAF50"/>
    <w:rsid w:val="FCBF7B06"/>
    <w:rsid w:val="FCEFC45B"/>
    <w:rsid w:val="FD6BFF43"/>
    <w:rsid w:val="FD74B629"/>
    <w:rsid w:val="FD7B5CAB"/>
    <w:rsid w:val="FD7E550C"/>
    <w:rsid w:val="FD7F2E4C"/>
    <w:rsid w:val="FDBCE313"/>
    <w:rsid w:val="FDBFBCA3"/>
    <w:rsid w:val="FDCB336D"/>
    <w:rsid w:val="FDED6B96"/>
    <w:rsid w:val="FDEF12E0"/>
    <w:rsid w:val="FDFC5D17"/>
    <w:rsid w:val="FDFEDFA4"/>
    <w:rsid w:val="FDFFCF68"/>
    <w:rsid w:val="FE6E7E24"/>
    <w:rsid w:val="FE7F428D"/>
    <w:rsid w:val="FE7FE46A"/>
    <w:rsid w:val="FEA799BF"/>
    <w:rsid w:val="FEB5572F"/>
    <w:rsid w:val="FEBB36E7"/>
    <w:rsid w:val="FED778BA"/>
    <w:rsid w:val="FEDDDC08"/>
    <w:rsid w:val="FEDF1779"/>
    <w:rsid w:val="FEEF385A"/>
    <w:rsid w:val="FEEF721E"/>
    <w:rsid w:val="FEEF88BD"/>
    <w:rsid w:val="FEF1FC4F"/>
    <w:rsid w:val="FEF1FFCA"/>
    <w:rsid w:val="FEF33081"/>
    <w:rsid w:val="FEF70C69"/>
    <w:rsid w:val="FEFB9195"/>
    <w:rsid w:val="FEFC7086"/>
    <w:rsid w:val="FEFC8C26"/>
    <w:rsid w:val="FEFD4BA7"/>
    <w:rsid w:val="FEFE9B35"/>
    <w:rsid w:val="FEFF8ED1"/>
    <w:rsid w:val="FF2F2950"/>
    <w:rsid w:val="FF3B617E"/>
    <w:rsid w:val="FF3F4350"/>
    <w:rsid w:val="FF4E6AC7"/>
    <w:rsid w:val="FF553E9C"/>
    <w:rsid w:val="FF5F8600"/>
    <w:rsid w:val="FF68272A"/>
    <w:rsid w:val="FF72BEBF"/>
    <w:rsid w:val="FF7530F5"/>
    <w:rsid w:val="FF7BC694"/>
    <w:rsid w:val="FF957BEE"/>
    <w:rsid w:val="FF9B571A"/>
    <w:rsid w:val="FF9DA0C8"/>
    <w:rsid w:val="FF9E342F"/>
    <w:rsid w:val="FF9EA22E"/>
    <w:rsid w:val="FFABDE63"/>
    <w:rsid w:val="FFAEE8CE"/>
    <w:rsid w:val="FFAF3A33"/>
    <w:rsid w:val="FFB5BDFF"/>
    <w:rsid w:val="FFC1C550"/>
    <w:rsid w:val="FFCB8746"/>
    <w:rsid w:val="FFCFBB4B"/>
    <w:rsid w:val="FFD4D3CD"/>
    <w:rsid w:val="FFD65DB0"/>
    <w:rsid w:val="FFD7997F"/>
    <w:rsid w:val="FFD7C368"/>
    <w:rsid w:val="FFD9F357"/>
    <w:rsid w:val="FFDF385B"/>
    <w:rsid w:val="FFE55A4E"/>
    <w:rsid w:val="FFE6A4A9"/>
    <w:rsid w:val="FFE988AB"/>
    <w:rsid w:val="FFEB77A4"/>
    <w:rsid w:val="FFEE127A"/>
    <w:rsid w:val="FFEE732D"/>
    <w:rsid w:val="FFF3CE43"/>
    <w:rsid w:val="FFF95ED9"/>
    <w:rsid w:val="FFFCF0D4"/>
    <w:rsid w:val="FFFD6E50"/>
    <w:rsid w:val="FFFD77F9"/>
    <w:rsid w:val="FFFD9929"/>
    <w:rsid w:val="FFFF5799"/>
    <w:rsid w:val="FFFF774A"/>
    <w:rsid w:val="FFFFC955"/>
    <w:rsid w:val="FFFFCEFE"/>
    <w:rsid w:val="FFFFF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w:basedOn w:val="1"/>
    <w:link w:val="9"/>
    <w:qFormat/>
    <w:uiPriority w:val="0"/>
    <w:pPr>
      <w:spacing w:after="120"/>
    </w:pPr>
  </w:style>
  <w:style w:type="paragraph" w:styleId="4">
    <w:name w:val="Body Text Indent"/>
    <w:basedOn w:val="1"/>
    <w:semiHidden/>
    <w:qFormat/>
    <w:uiPriority w:val="99"/>
    <w:pPr>
      <w:spacing w:after="120"/>
      <w:ind w:left="420" w:leftChars="2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tabs>
        <w:tab w:val="center" w:pos="4153"/>
        <w:tab w:val="right" w:pos="8306"/>
      </w:tabs>
      <w:snapToGrid w:val="0"/>
      <w:jc w:val="center"/>
    </w:pPr>
    <w:rPr>
      <w:sz w:val="18"/>
      <w:szCs w:val="18"/>
    </w:rPr>
  </w:style>
  <w:style w:type="character" w:customStyle="1" w:styleId="9">
    <w:name w:val="正文文本 字符"/>
    <w:basedOn w:val="8"/>
    <w:link w:val="3"/>
    <w:qFormat/>
    <w:uiPriority w:val="0"/>
    <w:rPr>
      <w:rFonts w:ascii="Calibri" w:hAnsi="Calibri" w:eastAsia="宋体" w:cs="Times New Roman"/>
      <w:szCs w:val="24"/>
    </w:rPr>
  </w:style>
  <w:style w:type="character" w:customStyle="1" w:styleId="10">
    <w:name w:val="页眉 字符"/>
    <w:basedOn w:val="8"/>
    <w:link w:val="6"/>
    <w:qFormat/>
    <w:uiPriority w:val="99"/>
    <w:rPr>
      <w:rFonts w:ascii="Calibri" w:hAnsi="Calibri" w:eastAsia="宋体" w:cs="Times New Roman"/>
      <w:sz w:val="18"/>
      <w:szCs w:val="18"/>
    </w:rPr>
  </w:style>
  <w:style w:type="character" w:customStyle="1" w:styleId="11">
    <w:name w:val="页脚 字符"/>
    <w:basedOn w:val="8"/>
    <w:link w:val="5"/>
    <w:qFormat/>
    <w:uiPriority w:val="99"/>
    <w:rPr>
      <w:rFonts w:ascii="Calibri" w:hAnsi="Calibri" w:eastAsia="宋体" w:cs="Times New Roman"/>
      <w:sz w:val="18"/>
      <w:szCs w:val="18"/>
    </w:rPr>
  </w:style>
  <w:style w:type="paragraph" w:customStyle="1" w:styleId="12">
    <w:name w:val="Normal Indent1"/>
    <w:basedOn w:val="1"/>
    <w:qFormat/>
    <w:uiPriority w:val="0"/>
    <w:pPr>
      <w:spacing w:line="660" w:lineRule="exact"/>
      <w:ind w:firstLine="720" w:firstLineChars="200"/>
    </w:pPr>
    <w:rPr>
      <w:rFonts w:ascii="Calibri" w:hAnsi="Calibri" w:eastAsia="楷体_GB2312"/>
      <w:sz w:val="36"/>
      <w:szCs w:val="36"/>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13236</Words>
  <Characters>13459</Characters>
  <Lines>12</Lines>
  <Paragraphs>3</Paragraphs>
  <TotalTime>16</TotalTime>
  <ScaleCrop>false</ScaleCrop>
  <LinksUpToDate>false</LinksUpToDate>
  <CharactersWithSpaces>13467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2024-07-13T08:29:00Z</dcterms:created>
  <dc:creator>yu luo</dc:creator>
  <cp:lastModifiedBy>MissX</cp:lastModifiedBy>
  <cp:lastPrinted>2024-08-13T15:48:00Z</cp:lastPrinted>
  <dcterms:modified xsi:type="dcterms:W3CDTF">2024-08-21T07:42:26Z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34E36BD6E28342A29E808F50BCF82806_13</vt:lpwstr>
  </property>
</Properties>
</file>