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1256"/>
        <w:gridCol w:w="2647"/>
      </w:tblGrid>
      <w:tr w:rsidR="00B1698A" w:rsidRPr="00B1698A" w:rsidTr="000A5072">
        <w:trPr>
          <w:trHeight w:val="840"/>
          <w:jc w:val="center"/>
        </w:trPr>
        <w:tc>
          <w:tcPr>
            <w:tcW w:w="9073" w:type="dxa"/>
            <w:gridSpan w:val="3"/>
            <w:tcBorders>
              <w:top w:val="nil"/>
              <w:left w:val="nil"/>
              <w:bottom w:val="nil"/>
              <w:right w:val="nil"/>
            </w:tcBorders>
            <w:shd w:val="clear" w:color="000000" w:fill="FFFFFF"/>
            <w:noWrap/>
            <w:vAlign w:val="center"/>
          </w:tcPr>
          <w:p w:rsidR="00B1698A" w:rsidRPr="00B1698A" w:rsidRDefault="00B1698A" w:rsidP="00B1698A">
            <w:pPr>
              <w:widowControl/>
              <w:adjustRightInd w:val="0"/>
              <w:snapToGrid w:val="0"/>
              <w:jc w:val="center"/>
              <w:rPr>
                <w:rFonts w:ascii="等线" w:eastAsia="等线" w:hAnsi="等线" w:cs="宋体"/>
                <w:color w:val="000000"/>
                <w:kern w:val="0"/>
                <w:szCs w:val="21"/>
              </w:rPr>
            </w:pPr>
            <w:bookmarkStart w:id="0" w:name="_GoBack"/>
            <w:r w:rsidRPr="00B1698A">
              <w:rPr>
                <w:rFonts w:ascii="黑体" w:eastAsia="黑体" w:hAnsi="黑体" w:cs="宋体" w:hint="eastAsia"/>
                <w:color w:val="000000"/>
                <w:kern w:val="0"/>
                <w:sz w:val="32"/>
                <w:szCs w:val="32"/>
              </w:rPr>
              <w:t>上海市生产总值</w:t>
            </w:r>
          </w:p>
        </w:tc>
      </w:tr>
      <w:tr w:rsidR="00B1698A" w:rsidRPr="00B1698A" w:rsidTr="000A5072">
        <w:trPr>
          <w:trHeight w:val="697"/>
          <w:jc w:val="center"/>
        </w:trPr>
        <w:tc>
          <w:tcPr>
            <w:tcW w:w="9073" w:type="dxa"/>
            <w:gridSpan w:val="3"/>
            <w:tcBorders>
              <w:top w:val="nil"/>
              <w:left w:val="nil"/>
              <w:right w:val="nil"/>
            </w:tcBorders>
            <w:shd w:val="clear" w:color="000000" w:fill="FFFFFF"/>
            <w:noWrap/>
            <w:vAlign w:val="center"/>
          </w:tcPr>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黑体" w:eastAsia="黑体" w:hAnsi="黑体" w:cs="宋体" w:hint="eastAsia"/>
                <w:color w:val="000000"/>
                <w:kern w:val="0"/>
                <w:sz w:val="24"/>
                <w:szCs w:val="24"/>
              </w:rPr>
              <w:t>2020年上半年</w:t>
            </w:r>
          </w:p>
        </w:tc>
      </w:tr>
      <w:tr w:rsidR="00B1698A" w:rsidRPr="00B1698A" w:rsidTr="000A5072">
        <w:trPr>
          <w:trHeight w:val="1091"/>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指标名称</w:t>
            </w:r>
          </w:p>
        </w:tc>
        <w:tc>
          <w:tcPr>
            <w:tcW w:w="1256" w:type="dxa"/>
            <w:shd w:val="clear" w:color="000000" w:fill="FFFFFF"/>
            <w:noWrap/>
            <w:vAlign w:val="center"/>
            <w:hideMark/>
          </w:tcPr>
          <w:p w:rsidR="00B1698A" w:rsidRDefault="00B1698A" w:rsidP="00B1698A">
            <w:pPr>
              <w:widowControl/>
              <w:adjustRightInd w:val="0"/>
              <w:snapToGrid w:val="0"/>
              <w:jc w:val="center"/>
              <w:rPr>
                <w:rFonts w:ascii="等线" w:eastAsia="等线" w:hAnsi="等线" w:cs="宋体"/>
                <w:color w:val="000000"/>
                <w:kern w:val="0"/>
                <w:szCs w:val="21"/>
              </w:rPr>
            </w:pPr>
            <w:r w:rsidRPr="00B1698A">
              <w:rPr>
                <w:rFonts w:ascii="等线" w:eastAsia="等线" w:hAnsi="等线" w:cs="宋体" w:hint="eastAsia"/>
                <w:color w:val="000000"/>
                <w:kern w:val="0"/>
                <w:szCs w:val="21"/>
              </w:rPr>
              <w:t>总量</w:t>
            </w:r>
          </w:p>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等线" w:eastAsia="等线" w:hAnsi="等线" w:cs="宋体" w:hint="eastAsia"/>
                <w:color w:val="000000"/>
                <w:kern w:val="0"/>
                <w:szCs w:val="21"/>
              </w:rPr>
              <w:t>（亿元）</w:t>
            </w:r>
          </w:p>
        </w:tc>
        <w:tc>
          <w:tcPr>
            <w:tcW w:w="2647" w:type="dxa"/>
            <w:tcBorders>
              <w:right w:val="nil"/>
            </w:tcBorders>
            <w:shd w:val="clear" w:color="000000" w:fill="FFFFFF"/>
            <w:noWrap/>
            <w:vAlign w:val="center"/>
            <w:hideMark/>
          </w:tcPr>
          <w:p w:rsidR="00B1698A" w:rsidRDefault="00B1698A" w:rsidP="00B1698A">
            <w:pPr>
              <w:widowControl/>
              <w:adjustRightInd w:val="0"/>
              <w:snapToGrid w:val="0"/>
              <w:jc w:val="center"/>
              <w:rPr>
                <w:rFonts w:ascii="等线" w:eastAsia="等线" w:hAnsi="等线" w:cs="宋体"/>
                <w:color w:val="000000"/>
                <w:kern w:val="0"/>
                <w:szCs w:val="21"/>
              </w:rPr>
            </w:pPr>
            <w:r w:rsidRPr="00B1698A">
              <w:rPr>
                <w:rFonts w:ascii="等线" w:eastAsia="等线" w:hAnsi="等线" w:cs="宋体" w:hint="eastAsia"/>
                <w:color w:val="000000"/>
                <w:kern w:val="0"/>
                <w:szCs w:val="21"/>
              </w:rPr>
              <w:t>比上年同期增长</w:t>
            </w:r>
          </w:p>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等线" w:eastAsia="等线" w:hAnsi="等线" w:cs="宋体" w:hint="eastAsia"/>
                <w:color w:val="000000"/>
                <w:kern w:val="0"/>
                <w:szCs w:val="21"/>
              </w:rPr>
              <w:t>（%）</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地区生产总值</w:t>
            </w:r>
          </w:p>
        </w:tc>
        <w:tc>
          <w:tcPr>
            <w:tcW w:w="1256" w:type="dxa"/>
            <w:shd w:val="clear" w:color="000000" w:fill="FFFFFF"/>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17356.8</w:t>
            </w:r>
            <w:r>
              <w:rPr>
                <w:rFonts w:ascii="等线" w:eastAsia="等线" w:hAnsi="等线" w:cs="宋体" w:hint="eastAsia"/>
                <w:color w:val="000000"/>
                <w:kern w:val="0"/>
                <w:sz w:val="22"/>
              </w:rPr>
              <w:t>0</w:t>
            </w:r>
          </w:p>
        </w:tc>
        <w:tc>
          <w:tcPr>
            <w:tcW w:w="2647" w:type="dxa"/>
            <w:tcBorders>
              <w:right w:val="nil"/>
            </w:tcBorders>
            <w:shd w:val="clear" w:color="000000" w:fill="FFFFFF"/>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-2.6</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按产业分</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 xml:space="preserve">　</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 xml:space="preserve">　</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第一产业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33.91</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-16.9</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第二产业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4256.81</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-8.2</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第三产业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13066.08</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-0.6</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按行业分</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 xml:space="preserve">　</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 xml:space="preserve">　</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 工业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4035.54</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-8.2</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 制造业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3846.93</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-8.4</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建筑业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265.32</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-7.3</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批发和零售业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2084.01</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-9.4</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交通运输、仓储和邮政业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643.83</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-14</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住宿和餐饮业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136.71</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-31.3</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信息传输、软件和信息技术服务业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1348.22</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13.5</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房地产业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1525.76</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-0.8</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金融业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3475.41</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7.4</w:t>
            </w:r>
          </w:p>
        </w:tc>
      </w:tr>
      <w:tr w:rsidR="00B1698A" w:rsidRPr="00B1698A" w:rsidTr="000A5072">
        <w:trPr>
          <w:trHeight w:val="647"/>
          <w:jc w:val="center"/>
        </w:trPr>
        <w:tc>
          <w:tcPr>
            <w:tcW w:w="5170" w:type="dxa"/>
            <w:tcBorders>
              <w:left w:val="nil"/>
            </w:tcBorders>
            <w:shd w:val="clear" w:color="000000" w:fill="FFFFFF"/>
            <w:noWrap/>
            <w:vAlign w:val="center"/>
            <w:hideMark/>
          </w:tcPr>
          <w:p w:rsidR="00B1698A" w:rsidRPr="00B1698A" w:rsidRDefault="00B1698A" w:rsidP="00B1698A">
            <w:pPr>
              <w:widowControl/>
              <w:adjustRightInd w:val="0"/>
              <w:snapToGrid w:val="0"/>
              <w:jc w:val="left"/>
              <w:rPr>
                <w:rFonts w:ascii="等线" w:eastAsia="等线" w:hAnsi="等线" w:cs="宋体"/>
                <w:color w:val="000000"/>
                <w:kern w:val="0"/>
                <w:szCs w:val="21"/>
              </w:rPr>
            </w:pPr>
            <w:r w:rsidRPr="00B1698A">
              <w:rPr>
                <w:rFonts w:ascii="等线" w:eastAsia="等线" w:hAnsi="等线" w:cs="宋体" w:hint="eastAsia"/>
                <w:color w:val="000000"/>
                <w:kern w:val="0"/>
                <w:szCs w:val="21"/>
              </w:rPr>
              <w:t xml:space="preserve">      租赁和商务服务业</w:t>
            </w:r>
          </w:p>
        </w:tc>
        <w:tc>
          <w:tcPr>
            <w:tcW w:w="1256" w:type="dxa"/>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1198.59</w:t>
            </w:r>
          </w:p>
        </w:tc>
        <w:tc>
          <w:tcPr>
            <w:tcW w:w="2647" w:type="dxa"/>
            <w:tcBorders>
              <w:right w:val="nil"/>
            </w:tcBorders>
            <w:shd w:val="clear" w:color="auto" w:fill="auto"/>
            <w:noWrap/>
            <w:vAlign w:val="center"/>
            <w:hideMark/>
          </w:tcPr>
          <w:p w:rsidR="00B1698A" w:rsidRPr="00B1698A" w:rsidRDefault="00B1698A" w:rsidP="00B1698A">
            <w:pPr>
              <w:widowControl/>
              <w:adjustRightInd w:val="0"/>
              <w:snapToGrid w:val="0"/>
              <w:jc w:val="center"/>
              <w:rPr>
                <w:rFonts w:ascii="等线" w:eastAsia="等线" w:hAnsi="等线" w:cs="宋体"/>
                <w:color w:val="000000"/>
                <w:kern w:val="0"/>
                <w:sz w:val="22"/>
              </w:rPr>
            </w:pPr>
            <w:r w:rsidRPr="00B1698A">
              <w:rPr>
                <w:rFonts w:ascii="等线" w:eastAsia="等线" w:hAnsi="等线" w:cs="宋体" w:hint="eastAsia"/>
                <w:color w:val="000000"/>
                <w:kern w:val="0"/>
                <w:sz w:val="22"/>
              </w:rPr>
              <w:t>-11.6</w:t>
            </w:r>
          </w:p>
        </w:tc>
      </w:tr>
    </w:tbl>
    <w:p w:rsidR="008033EE" w:rsidRDefault="008033EE" w:rsidP="008033EE">
      <w:r>
        <w:br w:type="page"/>
      </w:r>
    </w:p>
    <w:tbl>
      <w:tblPr>
        <w:tblW w:w="8789" w:type="dxa"/>
        <w:jc w:val="center"/>
        <w:tblLook w:val="04A0" w:firstRow="1" w:lastRow="0" w:firstColumn="1" w:lastColumn="0" w:noHBand="0" w:noVBand="1"/>
      </w:tblPr>
      <w:tblGrid>
        <w:gridCol w:w="8789"/>
      </w:tblGrid>
      <w:tr w:rsidR="008033EE" w:rsidRPr="00893893" w:rsidTr="0016577D">
        <w:trPr>
          <w:trHeight w:val="40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8033EE" w:rsidRPr="00893893" w:rsidTr="0016577D">
        <w:trPr>
          <w:trHeight w:val="205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r w:rsidRPr="00893893">
              <w:rPr>
                <w:rFonts w:ascii="仿宋_GB2312" w:eastAsia="仿宋_GB2312" w:hAnsi="宋体" w:cs="宋体" w:hint="eastAsia"/>
                <w:color w:val="000000"/>
                <w:kern w:val="0"/>
                <w:sz w:val="28"/>
                <w:szCs w:val="28"/>
              </w:rPr>
              <w:t>经济领土内具有经济利益中心的经济单位都应该纳入地区生产总值（GDP</w:t>
            </w:r>
            <w:r>
              <w:rPr>
                <w:rFonts w:ascii="仿宋_GB2312" w:eastAsia="仿宋_GB2312" w:hAnsi="宋体" w:cs="宋体" w:hint="eastAsia"/>
                <w:color w:val="000000"/>
                <w:kern w:val="0"/>
                <w:sz w:val="28"/>
                <w:szCs w:val="28"/>
              </w:rPr>
              <w:t>）统计范围，即在本地区</w:t>
            </w:r>
            <w:r w:rsidRPr="00893893">
              <w:rPr>
                <w:rFonts w:ascii="仿宋_GB2312" w:eastAsia="仿宋_GB2312" w:hAnsi="宋体" w:cs="宋体" w:hint="eastAsia"/>
                <w:color w:val="000000"/>
                <w:kern w:val="0"/>
                <w:sz w:val="28"/>
                <w:szCs w:val="28"/>
              </w:rPr>
              <w:t>经济领土内拥有一定的活动场所，从事一定规模的经济活动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8033EE" w:rsidRPr="00893893" w:rsidTr="0016577D">
        <w:trPr>
          <w:trHeight w:val="2254"/>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地区生产总值（GDP）核算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Pr="004F6F0A">
              <w:rPr>
                <w:rFonts w:ascii="仿宋_GB2312" w:eastAsia="仿宋_GB2312" w:hAnsi="宋体" w:cs="宋体"/>
                <w:color w:val="000000"/>
                <w:kern w:val="0"/>
                <w:sz w:val="28"/>
                <w:szCs w:val="28"/>
              </w:rPr>
              <w:t>、</w:t>
            </w:r>
            <w:r w:rsidRPr="004F6F0A">
              <w:rPr>
                <w:rFonts w:ascii="仿宋_GB2312" w:eastAsia="仿宋_GB2312" w:hAnsi="宋体" w:cs="宋体" w:hint="eastAsia"/>
                <w:color w:val="000000"/>
                <w:kern w:val="0"/>
                <w:sz w:val="28"/>
                <w:szCs w:val="28"/>
              </w:rPr>
              <w:t>通信</w:t>
            </w:r>
            <w:r w:rsidRPr="004F6F0A">
              <w:rPr>
                <w:rFonts w:ascii="仿宋_GB2312" w:eastAsia="仿宋_GB2312" w:hAnsi="宋体" w:cs="宋体"/>
                <w:color w:val="000000"/>
                <w:kern w:val="0"/>
                <w:sz w:val="28"/>
                <w:szCs w:val="28"/>
              </w:rPr>
              <w:t>管理局及</w:t>
            </w:r>
            <w:r w:rsidRPr="004F6F0A">
              <w:rPr>
                <w:rFonts w:ascii="仿宋_GB2312" w:eastAsia="仿宋_GB2312" w:hAnsi="宋体" w:cs="宋体" w:hint="eastAsia"/>
                <w:color w:val="000000"/>
                <w:kern w:val="0"/>
                <w:sz w:val="28"/>
                <w:szCs w:val="28"/>
              </w:rPr>
              <w:t>各金融</w:t>
            </w:r>
            <w:r w:rsidRPr="004F6F0A">
              <w:rPr>
                <w:rFonts w:ascii="仿宋_GB2312" w:eastAsia="仿宋_GB2312" w:hAnsi="宋体" w:cs="宋体"/>
                <w:color w:val="000000"/>
                <w:kern w:val="0"/>
                <w:sz w:val="28"/>
                <w:szCs w:val="28"/>
              </w:rPr>
              <w:t>监管部门等</w:t>
            </w:r>
            <w:r w:rsidRPr="004F6F0A">
              <w:rPr>
                <w:rFonts w:ascii="仿宋_GB2312" w:eastAsia="仿宋_GB2312" w:hAnsi="宋体" w:cs="宋体" w:hint="eastAsia"/>
                <w:color w:val="000000"/>
                <w:kern w:val="0"/>
                <w:sz w:val="28"/>
                <w:szCs w:val="28"/>
              </w:rPr>
              <w:t>提供的资料等。</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8033EE" w:rsidRPr="00893893" w:rsidTr="0016577D">
        <w:trPr>
          <w:trHeight w:val="112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8033EE" w:rsidRPr="00893893" w:rsidRDefault="008033EE" w:rsidP="008033EE"/>
    <w:p w:rsidR="008033EE" w:rsidRPr="00C55182" w:rsidRDefault="008033EE" w:rsidP="008033EE"/>
    <w:p w:rsidR="008033EE" w:rsidRPr="00B75F36" w:rsidRDefault="008033EE" w:rsidP="008033EE"/>
    <w:p w:rsidR="008033EE" w:rsidRPr="001A2C9A" w:rsidRDefault="008033EE" w:rsidP="008033EE"/>
    <w:bookmarkEnd w:id="0"/>
    <w:p w:rsidR="00EE69BC" w:rsidRPr="008033EE" w:rsidRDefault="00EE69BC"/>
    <w:sectPr w:rsidR="00EE69BC" w:rsidRPr="00803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3D" w:rsidRDefault="009E5B3D" w:rsidP="00AC2C15">
      <w:r>
        <w:separator/>
      </w:r>
    </w:p>
  </w:endnote>
  <w:endnote w:type="continuationSeparator" w:id="0">
    <w:p w:rsidR="009E5B3D" w:rsidRDefault="009E5B3D" w:rsidP="00AC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3D" w:rsidRDefault="009E5B3D" w:rsidP="00AC2C15">
      <w:r>
        <w:separator/>
      </w:r>
    </w:p>
  </w:footnote>
  <w:footnote w:type="continuationSeparator" w:id="0">
    <w:p w:rsidR="009E5B3D" w:rsidRDefault="009E5B3D" w:rsidP="00AC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EE"/>
    <w:rsid w:val="000A5072"/>
    <w:rsid w:val="00706340"/>
    <w:rsid w:val="008033EE"/>
    <w:rsid w:val="009E5B3D"/>
    <w:rsid w:val="00AC2C15"/>
    <w:rsid w:val="00B1698A"/>
    <w:rsid w:val="00C86BE5"/>
    <w:rsid w:val="00EE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B6119-51B3-43F1-92AF-EC62E96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C15"/>
    <w:rPr>
      <w:sz w:val="18"/>
      <w:szCs w:val="18"/>
    </w:rPr>
  </w:style>
  <w:style w:type="character" w:customStyle="1" w:styleId="Char">
    <w:name w:val="批注框文本 Char"/>
    <w:basedOn w:val="a0"/>
    <w:link w:val="a3"/>
    <w:uiPriority w:val="99"/>
    <w:semiHidden/>
    <w:rsid w:val="00AC2C15"/>
    <w:rPr>
      <w:sz w:val="18"/>
      <w:szCs w:val="18"/>
    </w:rPr>
  </w:style>
  <w:style w:type="paragraph" w:styleId="a4">
    <w:name w:val="header"/>
    <w:basedOn w:val="a"/>
    <w:link w:val="Char0"/>
    <w:uiPriority w:val="99"/>
    <w:unhideWhenUsed/>
    <w:rsid w:val="00AC2C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2C15"/>
    <w:rPr>
      <w:sz w:val="18"/>
      <w:szCs w:val="18"/>
    </w:rPr>
  </w:style>
  <w:style w:type="paragraph" w:styleId="a5">
    <w:name w:val="footer"/>
    <w:basedOn w:val="a"/>
    <w:link w:val="Char1"/>
    <w:uiPriority w:val="99"/>
    <w:unhideWhenUsed/>
    <w:rsid w:val="00AC2C15"/>
    <w:pPr>
      <w:tabs>
        <w:tab w:val="center" w:pos="4153"/>
        <w:tab w:val="right" w:pos="8306"/>
      </w:tabs>
      <w:snapToGrid w:val="0"/>
      <w:jc w:val="left"/>
    </w:pPr>
    <w:rPr>
      <w:sz w:val="18"/>
      <w:szCs w:val="18"/>
    </w:rPr>
  </w:style>
  <w:style w:type="character" w:customStyle="1" w:styleId="Char1">
    <w:name w:val="页脚 Char"/>
    <w:basedOn w:val="a0"/>
    <w:link w:val="a5"/>
    <w:uiPriority w:val="99"/>
    <w:rsid w:val="00AC2C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124</Words>
  <Characters>711</Characters>
  <Application>Microsoft Office Word</Application>
  <DocSecurity>0</DocSecurity>
  <Lines>5</Lines>
  <Paragraphs>1</Paragraphs>
  <ScaleCrop>false</ScaleCrop>
  <Company>国家统计局</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Ａdministrator</cp:lastModifiedBy>
  <cp:revision>4</cp:revision>
  <cp:lastPrinted>2020-07-20T07:18:00Z</cp:lastPrinted>
  <dcterms:created xsi:type="dcterms:W3CDTF">2020-07-20T07:13:00Z</dcterms:created>
  <dcterms:modified xsi:type="dcterms:W3CDTF">2020-07-20T08:23:00Z</dcterms:modified>
</cp:coreProperties>
</file>