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lang w:val="en-US" w:eastAsia="zh-CN"/>
        </w:rPr>
        <w:t>2022年以来涉</w:t>
      </w:r>
      <w:r>
        <w:rPr>
          <w:rFonts w:hint="eastAsia" w:ascii="方正小标宋_GBK" w:hAnsi="方正小标宋_GBK" w:eastAsia="方正小标宋_GBK" w:cs="方正小标宋_GBK"/>
          <w:bCs/>
          <w:color w:val="000000"/>
          <w:sz w:val="36"/>
          <w:szCs w:val="44"/>
        </w:rPr>
        <w:t>交通运输业</w:t>
      </w:r>
      <w:r>
        <w:rPr>
          <w:rFonts w:hint="eastAsia" w:ascii="方正小标宋_GBK" w:hAnsi="方正小标宋_GBK" w:eastAsia="方正小标宋_GBK" w:cs="方正小标宋_GBK"/>
          <w:bCs/>
          <w:color w:val="000000"/>
          <w:sz w:val="36"/>
          <w:szCs w:val="44"/>
          <w:lang w:eastAsia="zh-CN"/>
        </w:rPr>
        <w:t>国家</w:t>
      </w:r>
      <w:r>
        <w:rPr>
          <w:rFonts w:hint="eastAsia" w:ascii="方正小标宋_GBK" w:hAnsi="方正小标宋_GBK" w:eastAsia="方正小标宋_GBK" w:cs="方正小标宋_GBK"/>
          <w:bCs/>
          <w:color w:val="000000"/>
          <w:sz w:val="36"/>
          <w:szCs w:val="44"/>
        </w:rPr>
        <w:t>主要财税金融</w:t>
      </w:r>
    </w:p>
    <w:p>
      <w:pPr>
        <w:adjustRightInd w:val="0"/>
        <w:snapToGrid w:val="0"/>
        <w:spacing w:before="156" w:beforeLines="50" w:after="156" w:afterLines="50" w:line="36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优惠政策目录清单</w:t>
      </w:r>
    </w:p>
    <w:p>
      <w:pPr>
        <w:adjustRightInd w:val="0"/>
        <w:snapToGrid w:val="0"/>
        <w:spacing w:before="156" w:beforeLines="50" w:after="156" w:afterLines="50" w:line="360" w:lineRule="auto"/>
        <w:jc w:val="center"/>
        <w:outlineLvl w:val="0"/>
        <w:rPr>
          <w:rFonts w:hint="eastAsia" w:ascii="黑体" w:hAnsi="黑体" w:eastAsia="黑体" w:cs="方正小标宋_GBK"/>
          <w:bCs/>
          <w:color w:val="000000"/>
          <w:sz w:val="30"/>
          <w:szCs w:val="44"/>
        </w:rPr>
      </w:pPr>
      <w:r>
        <w:rPr>
          <w:rFonts w:hint="eastAsia" w:ascii="方正小标宋_GBK" w:hAnsi="方正小标宋_GBK" w:eastAsia="方正小标宋_GBK" w:cs="方正小标宋_GBK"/>
          <w:bCs/>
          <w:color w:val="000000"/>
          <w:sz w:val="36"/>
          <w:szCs w:val="44"/>
          <w:lang w:val="en-US" w:eastAsia="zh-CN"/>
        </w:rPr>
        <w:t>（1）</w:t>
      </w:r>
      <w:bookmarkStart w:id="1" w:name="_GoBack"/>
      <w:bookmarkEnd w:id="1"/>
    </w:p>
    <w:p>
      <w:pPr>
        <w:spacing w:line="240" w:lineRule="auto"/>
        <w:rPr>
          <w:rFonts w:ascii="黑体" w:hAnsi="黑体" w:eastAsia="黑体" w:cs="方正小标宋_GBK"/>
          <w:bCs/>
          <w:color w:val="000000"/>
          <w:sz w:val="30"/>
          <w:szCs w:val="44"/>
          <w:highlight w:val="yellow"/>
        </w:rPr>
      </w:pPr>
      <w:r>
        <w:rPr>
          <w:rFonts w:hint="eastAsia" w:ascii="黑体" w:hAnsi="黑体" w:eastAsia="黑体" w:cs="方正小标宋_GBK"/>
          <w:bCs/>
          <w:color w:val="000000"/>
          <w:sz w:val="30"/>
          <w:szCs w:val="44"/>
        </w:rPr>
        <w:t xml:space="preserve">财务审计司编发     </w:t>
      </w:r>
      <w:r>
        <w:rPr>
          <w:rFonts w:hint="eastAsia" w:ascii="黑体" w:hAnsi="黑体" w:eastAsia="黑体" w:cs="方正小标宋_GBK"/>
          <w:bCs/>
          <w:color w:val="000000"/>
          <w:sz w:val="30"/>
          <w:szCs w:val="44"/>
          <w:lang w:val="en-US" w:eastAsia="zh-CN"/>
        </w:rPr>
        <w:t xml:space="preserve">                </w:t>
      </w:r>
      <w:r>
        <w:rPr>
          <w:rFonts w:hint="eastAsia" w:ascii="黑体" w:hAnsi="黑体" w:eastAsia="黑体" w:cs="方正小标宋_GBK"/>
          <w:bCs/>
          <w:color w:val="000000"/>
          <w:sz w:val="30"/>
          <w:szCs w:val="44"/>
        </w:rPr>
        <w:t xml:space="preserve"> </w:t>
      </w:r>
      <w:r>
        <w:rPr>
          <w:rFonts w:hint="eastAsia" w:ascii="黑体" w:hAnsi="黑体" w:eastAsia="黑体" w:cs="方正小标宋_GBK"/>
          <w:bCs/>
          <w:color w:val="000000"/>
          <w:sz w:val="30"/>
          <w:szCs w:val="44"/>
          <w:lang w:eastAsia="zh-CN"/>
        </w:rPr>
        <w:t>截</w:t>
      </w:r>
      <w:r>
        <w:rPr>
          <w:rFonts w:hint="eastAsia" w:ascii="黑体" w:hAnsi="黑体" w:eastAsia="黑体" w:cs="方正小标宋_GBK"/>
          <w:bCs/>
          <w:color w:val="000000"/>
          <w:sz w:val="30"/>
          <w:szCs w:val="44"/>
        </w:rPr>
        <w:t>至2</w:t>
      </w:r>
      <w:r>
        <w:rPr>
          <w:rFonts w:ascii="黑体" w:hAnsi="黑体" w:eastAsia="黑体" w:cs="方正小标宋_GBK"/>
          <w:bCs/>
          <w:color w:val="000000"/>
          <w:sz w:val="30"/>
          <w:szCs w:val="44"/>
        </w:rPr>
        <w:t>022</w:t>
      </w:r>
      <w:r>
        <w:rPr>
          <w:rFonts w:hint="eastAsia" w:ascii="黑体" w:hAnsi="黑体" w:eastAsia="黑体" w:cs="方正小标宋_GBK"/>
          <w:bCs/>
          <w:color w:val="000000"/>
          <w:sz w:val="30"/>
          <w:szCs w:val="44"/>
        </w:rPr>
        <w:t>年</w:t>
      </w:r>
      <w:r>
        <w:rPr>
          <w:rFonts w:ascii="黑体" w:hAnsi="黑体" w:eastAsia="黑体" w:cs="方正小标宋_GBK"/>
          <w:bCs/>
          <w:color w:val="000000"/>
          <w:sz w:val="30"/>
          <w:szCs w:val="44"/>
        </w:rPr>
        <w:t>3</w:t>
      </w:r>
      <w:r>
        <w:rPr>
          <w:rFonts w:hint="eastAsia" w:ascii="黑体" w:hAnsi="黑体" w:eastAsia="黑体" w:cs="方正小标宋_GBK"/>
          <w:bCs/>
          <w:color w:val="000000"/>
          <w:sz w:val="30"/>
          <w:szCs w:val="44"/>
        </w:rPr>
        <w:t>月</w:t>
      </w:r>
      <w:r>
        <w:rPr>
          <w:rFonts w:hint="eastAsia" w:ascii="黑体" w:hAnsi="黑体" w:eastAsia="黑体" w:cs="方正小标宋_GBK"/>
          <w:bCs/>
          <w:color w:val="000000"/>
          <w:sz w:val="30"/>
          <w:szCs w:val="44"/>
          <w:lang w:val="en-US" w:eastAsia="zh-CN"/>
        </w:rPr>
        <w:t>25</w:t>
      </w:r>
      <w:r>
        <w:rPr>
          <w:rFonts w:hint="eastAsia" w:ascii="黑体" w:hAnsi="黑体" w:eastAsia="黑体" w:cs="方正小标宋_GBK"/>
          <w:bCs/>
          <w:color w:val="000000"/>
          <w:sz w:val="30"/>
          <w:szCs w:val="44"/>
        </w:rPr>
        <w:t>日</w:t>
      </w:r>
    </w:p>
    <w:tbl>
      <w:tblPr>
        <w:tblStyle w:val="14"/>
        <w:tblW w:w="8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24"/>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tblHeader/>
          <w:jc w:val="center"/>
        </w:trPr>
        <w:tc>
          <w:tcPr>
            <w:tcW w:w="824" w:type="dxa"/>
            <w:vAlign w:val="center"/>
          </w:tcPr>
          <w:p>
            <w:pPr>
              <w:spacing w:line="240" w:lineRule="auto"/>
              <w:jc w:val="center"/>
              <w:rPr>
                <w:rFonts w:ascii="仿宋_GB2312" w:hAnsi="仿宋" w:eastAsia="仿宋_GB2312"/>
                <w:b/>
                <w:color w:val="000000"/>
                <w:szCs w:val="21"/>
              </w:rPr>
            </w:pPr>
            <w:r>
              <w:rPr>
                <w:rFonts w:hint="eastAsia" w:ascii="仿宋_GB2312" w:hAnsi="仿宋" w:eastAsia="仿宋_GB2312"/>
                <w:b/>
                <w:color w:val="000000"/>
                <w:szCs w:val="21"/>
              </w:rPr>
              <w:t>序号</w:t>
            </w:r>
          </w:p>
        </w:tc>
        <w:tc>
          <w:tcPr>
            <w:tcW w:w="1624" w:type="dxa"/>
            <w:vAlign w:val="center"/>
          </w:tcPr>
          <w:p>
            <w:pPr>
              <w:spacing w:line="240" w:lineRule="auto"/>
              <w:jc w:val="center"/>
              <w:rPr>
                <w:rFonts w:ascii="仿宋_GB2312" w:hAnsi="仿宋" w:eastAsia="仿宋_GB2312"/>
                <w:b/>
                <w:color w:val="000000"/>
                <w:szCs w:val="21"/>
              </w:rPr>
            </w:pPr>
            <w:r>
              <w:rPr>
                <w:rFonts w:hint="eastAsia" w:ascii="仿宋_GB2312" w:hAnsi="仿宋" w:eastAsia="仿宋_GB2312"/>
                <w:b/>
                <w:color w:val="000000"/>
                <w:szCs w:val="21"/>
              </w:rPr>
              <w:t>政策文件</w:t>
            </w:r>
          </w:p>
        </w:tc>
        <w:tc>
          <w:tcPr>
            <w:tcW w:w="6308" w:type="dxa"/>
            <w:vAlign w:val="center"/>
          </w:tcPr>
          <w:p>
            <w:pPr>
              <w:spacing w:line="240" w:lineRule="auto"/>
              <w:jc w:val="center"/>
              <w:rPr>
                <w:rFonts w:ascii="仿宋_GB2312" w:hAnsi="仿宋" w:eastAsia="仿宋_GB2312"/>
                <w:b/>
                <w:color w:val="000000"/>
                <w:szCs w:val="21"/>
              </w:rPr>
            </w:pPr>
            <w:r>
              <w:rPr>
                <w:rFonts w:hint="eastAsia" w:ascii="仿宋_GB2312" w:hAnsi="仿宋" w:eastAsia="仿宋_GB2312"/>
                <w:b/>
                <w:color w:val="000000"/>
                <w:szCs w:val="21"/>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bidi w:val="0"/>
              <w:jc w:val="center"/>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1</w:t>
            </w:r>
          </w:p>
        </w:tc>
        <w:tc>
          <w:tcPr>
            <w:tcW w:w="1624" w:type="dxa"/>
            <w:vAlign w:val="center"/>
          </w:tcPr>
          <w:p>
            <w:pPr>
              <w:bidi w:val="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关于进一步加大增值税期末留抵退税政策实施力度的公告</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rPr>
              <w:t>财政部 税务总局公告2022年第14号</w:t>
            </w:r>
            <w:r>
              <w:rPr>
                <w:rFonts w:hint="eastAsia" w:ascii="仿宋_GB2312" w:hAnsi="仿宋_GB2312" w:eastAsia="仿宋_GB2312" w:cs="仿宋_GB2312"/>
                <w:highlight w:val="none"/>
                <w:lang w:eastAsia="zh-CN"/>
              </w:rPr>
              <w:t>）</w:t>
            </w:r>
          </w:p>
          <w:p>
            <w:pPr>
              <w:bidi w:val="0"/>
              <w:rPr>
                <w:rFonts w:hint="eastAsia" w:ascii="仿宋_GB2312" w:hAnsi="仿宋_GB2312" w:eastAsia="仿宋_GB2312" w:cs="仿宋_GB2312"/>
                <w:kern w:val="2"/>
                <w:sz w:val="21"/>
                <w:szCs w:val="24"/>
                <w:highlight w:val="none"/>
                <w:lang w:val="en-US" w:eastAsia="zh-CN" w:bidi="ar-SA"/>
              </w:rPr>
            </w:pPr>
          </w:p>
        </w:tc>
        <w:tc>
          <w:tcPr>
            <w:tcW w:w="6308" w:type="dxa"/>
            <w:vAlign w:val="center"/>
          </w:tcPr>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加大小微企业增值税期末留抵退税政策力度，将先进制造业按月全额退还增值税增量留抵税额政策范围扩大至符合条件的小微企业（含个体工商户，下同），并一次性退还小微企业存量留抵税额。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）符合条件的小微企业，可以自2022年4月纳税申报期起向主管税务机关申请退还增量留抵税额。在2022年12月31日前，退税条件按照本公告第三条规定执行。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）符合条件的微型企业，可以自2022年4月纳税申报期起向主管税务机关申请一次性退还存量留抵税额；符合条件的小型企业，可以自2022年5月纳税申报期起向主管税务机关申请一次性退还存量留抵税额。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）符合条件的制造业等行业企业，可以自2022年4月纳税申报期起向主管税务机关申请退还增量留抵税额。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适用本公告政策的纳税人需同时符合以下条件：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）纳税信用等级为A级或者B级；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）申请退税前36个月未发生骗取留抵退税、骗取出口退税或虚开增值税专用发票情形；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）申请退税前36个月未因偷税被税务机关处罚两次及以上；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）2019年4月1日起未享受即征即退、先征后返（退）政策。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本公告所称增量留抵税额，区分以下情形确定：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）纳税人获得一次性存量留抵退税前，增量留抵税额为当期期末留抵税额与2019年3月31日相比新增加的留抵税额。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）纳税人获得一次性存量留抵退税后，增量留抵税额为当期期末留抵税额。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本公告所称存量留抵税额，区分以下情形确定：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）纳税人获得一次性存量留抵退税后，存量留抵税额为零。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本公告所称中型企业、小型企业和微型企业，按照《中小企业划型标准规定》（工信部联企业〔2011〕300号）和《金融业企业划型标准规定》（银发〔2015〕309号）中的营业收入指标、资产总额指标确定。</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　　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　　本公告所称大型企业，是指除上述中型企业、小型企业和微型企业外的其他企业。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适用本公告政策的纳税人，按照以下公式计算允许退还的留抵税额：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允许退还的增量留抵税额=增量留抵税额×进项构成比例×100%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允许退还的存量留抵税额=存量留抵税额×进项构成比例×100%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 </w:t>
            </w:r>
          </w:p>
          <w:p>
            <w:pPr>
              <w:bidi w:val="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本公告自2022年4月1日施行。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bidi w:val="0"/>
              <w:jc w:val="center"/>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2</w:t>
            </w:r>
          </w:p>
        </w:tc>
        <w:tc>
          <w:tcPr>
            <w:tcW w:w="1624" w:type="dxa"/>
            <w:vAlign w:val="center"/>
          </w:tcPr>
          <w:p>
            <w:pPr>
              <w:bidi w:val="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关于下达2022年支持小微企业留抵退税有关专项资金预算的通知</w:t>
            </w:r>
            <w:r>
              <w:rPr>
                <w:rFonts w:hint="eastAsia" w:ascii="仿宋_GB2312" w:hAnsi="仿宋_GB2312" w:eastAsia="仿宋_GB2312" w:cs="仿宋_GB2312"/>
                <w:highlight w:val="none"/>
                <w:lang w:eastAsia="zh-CN"/>
              </w:rPr>
              <w:t>》</w:t>
            </w:r>
          </w:p>
          <w:p>
            <w:pPr>
              <w:bidi w:val="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财预〔2022〕34号</w:t>
            </w:r>
            <w:r>
              <w:rPr>
                <w:rFonts w:hint="eastAsia" w:ascii="仿宋_GB2312" w:hAnsi="仿宋_GB2312" w:eastAsia="仿宋_GB2312" w:cs="仿宋_GB2312"/>
                <w:highlight w:val="none"/>
                <w:lang w:eastAsia="zh-CN"/>
              </w:rPr>
              <w:t>）</w:t>
            </w:r>
          </w:p>
        </w:tc>
        <w:tc>
          <w:tcPr>
            <w:tcW w:w="6308" w:type="dxa"/>
            <w:vAlign w:val="center"/>
          </w:tcPr>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为支持地方落实好退税减税政策，中央财政安排专项资金用于弥补地方政策性减收，缓解财政收支矛盾，促进县区财政平稳运行。现下达2022年支持小微企业留抵退税有关专项资金预算指标（资金额度、科目、项目代码详见附件），用于支持小微企业留抵退税。具体包括新出台小微企业留抵退税和原有政策实施的小微企业制度性留抵退税。年终根据地方实际留抵退税需要进行清算。其他新出台留抵退税政策专项资金和其他退税减税降费专项资金另行下达。 </w:t>
            </w:r>
          </w:p>
          <w:p>
            <w:pPr>
              <w:bidi w:val="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该项补助纳入直达资金范围，省市县均可留用，标识为“01中央直达资金”，该标识贯穿资金分配、拨付、使用等整个环节，且保持不变。</w:t>
            </w:r>
          </w:p>
          <w:p>
            <w:pPr>
              <w:bidi w:val="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在下达直达资金时，应单独下达预算指标文件，并保持中央财政直达资金标识不变，同时在指标管理系统中及时登录有关指标和直达资金标识，导入直达资金监控系统，确保数据真实、账目清晰、流向明确。将中央财政直达资金分解落实到基层财政部门时，对于资金来源既包含中央财政直达资金又包含其他资金的，应在预算指标文件、指标管理系统中按资金明细来源分别列示，在指标系统中分别登录，并将中央财政直达资金部分导入直达资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default" w:ascii="仿宋_GB2312" w:hAnsi="仿宋" w:eastAsia="仿宋_GB2312"/>
                <w:bCs/>
                <w:color w:val="000000"/>
                <w:szCs w:val="21"/>
                <w:highlight w:val="none"/>
                <w:lang w:val="en-US" w:eastAsia="zh-CN"/>
              </w:rPr>
            </w:pPr>
            <w:r>
              <w:rPr>
                <w:rFonts w:hint="eastAsia" w:ascii="仿宋_GB2312" w:hAnsi="仿宋" w:eastAsia="仿宋_GB2312"/>
                <w:bCs/>
                <w:color w:val="000000"/>
                <w:szCs w:val="21"/>
                <w:highlight w:val="none"/>
                <w:lang w:val="en-US" w:eastAsia="zh-CN"/>
              </w:rPr>
              <w:t>3</w:t>
            </w:r>
          </w:p>
        </w:tc>
        <w:tc>
          <w:tcPr>
            <w:tcW w:w="1624" w:type="dxa"/>
            <w:vAlign w:val="center"/>
          </w:tcPr>
          <w:p>
            <w:pPr>
              <w:spacing w:line="240" w:lineRule="auto"/>
              <w:jc w:val="center"/>
              <w:rPr>
                <w:rFonts w:hint="eastAsia" w:ascii="仿宋_GB2312" w:hAnsi="仿宋" w:eastAsia="仿宋_GB2312"/>
                <w:bCs/>
                <w:color w:val="000000"/>
                <w:szCs w:val="21"/>
                <w:highlight w:val="none"/>
              </w:rPr>
            </w:pPr>
            <w:r>
              <w:rPr>
                <w:rFonts w:hint="eastAsia" w:ascii="仿宋_GB2312" w:hAnsi="仿宋" w:eastAsia="仿宋_GB2312"/>
                <w:bCs/>
                <w:color w:val="000000"/>
                <w:szCs w:val="21"/>
                <w:highlight w:val="none"/>
              </w:rPr>
              <w:t>《财政部 税务总局关于进一步实施小微企业所得税优惠政策的公告》（财政部 税务总局公告2022年第13号）</w:t>
            </w:r>
          </w:p>
        </w:tc>
        <w:tc>
          <w:tcPr>
            <w:tcW w:w="6308" w:type="dxa"/>
            <w:vAlign w:val="center"/>
          </w:tcPr>
          <w:p>
            <w:pPr>
              <w:spacing w:line="240" w:lineRule="auto"/>
              <w:jc w:val="left"/>
              <w:rPr>
                <w:rFonts w:hint="eastAsia" w:ascii="仿宋_GB2312" w:hAnsi="仿宋" w:eastAsia="仿宋_GB2312"/>
                <w:bCs/>
                <w:color w:val="000000"/>
                <w:szCs w:val="21"/>
                <w:highlight w:val="none"/>
              </w:rPr>
            </w:pPr>
            <w:r>
              <w:rPr>
                <w:rFonts w:hint="eastAsia" w:ascii="仿宋_GB2312" w:hAnsi="仿宋" w:eastAsia="仿宋_GB2312"/>
                <w:bCs/>
                <w:color w:val="000000"/>
                <w:szCs w:val="21"/>
                <w:highlight w:val="none"/>
              </w:rPr>
              <w:t>1.对小型微利企业年应纳税所得额超过100万元但不超过300万元的部分，减按25%计入应纳税所得额，按20%的税率缴纳企业所得税。</w:t>
            </w:r>
          </w:p>
          <w:p>
            <w:pPr>
              <w:spacing w:line="240" w:lineRule="auto"/>
              <w:jc w:val="left"/>
              <w:rPr>
                <w:rFonts w:hint="eastAsia" w:ascii="仿宋_GB2312" w:hAnsi="仿宋" w:eastAsia="仿宋_GB2312"/>
                <w:bCs/>
                <w:color w:val="000000"/>
                <w:szCs w:val="21"/>
                <w:highlight w:val="none"/>
              </w:rPr>
            </w:pPr>
            <w:r>
              <w:rPr>
                <w:rFonts w:hint="eastAsia" w:ascii="仿宋_GB2312" w:hAnsi="仿宋" w:eastAsia="仿宋_GB2312"/>
                <w:bCs/>
                <w:color w:val="000000"/>
                <w:szCs w:val="21"/>
                <w:highlight w:val="none"/>
              </w:rPr>
              <w:t>2.本公告所称小型微利企业，是指从事国家非限制和禁止行业，且同时符合年度应纳税所得额不超过300万元、从业人数不超过300人、资产总额不超过5000万元等三个条件的企业。</w:t>
            </w:r>
          </w:p>
          <w:p>
            <w:pPr>
              <w:spacing w:line="240" w:lineRule="auto"/>
              <w:jc w:val="left"/>
              <w:rPr>
                <w:rFonts w:hint="eastAsia" w:ascii="仿宋_GB2312" w:hAnsi="仿宋" w:eastAsia="仿宋_GB2312"/>
                <w:bCs/>
                <w:color w:val="000000"/>
                <w:szCs w:val="21"/>
                <w:highlight w:val="none"/>
              </w:rPr>
            </w:pPr>
            <w:r>
              <w:rPr>
                <w:rFonts w:hint="eastAsia" w:ascii="仿宋_GB2312" w:hAnsi="仿宋" w:eastAsia="仿宋_GB2312"/>
                <w:bCs/>
                <w:color w:val="000000"/>
                <w:szCs w:val="21"/>
                <w:highlight w:val="none"/>
              </w:rPr>
              <w:t>从业人数，包括与企业建立劳动关系的职工人数和企业接受的劳务派遣用工人数。所称从业人数和资产总额指标，应按企业全年的季度平均值确定。年度中间开业或者终止经营活动的，以其实际经营期作为一个纳税年度确定上述相关指标。</w:t>
            </w:r>
          </w:p>
          <w:p>
            <w:pPr>
              <w:spacing w:line="240" w:lineRule="auto"/>
              <w:jc w:val="left"/>
              <w:rPr>
                <w:rFonts w:hint="eastAsia" w:ascii="仿宋_GB2312" w:hAnsi="仿宋" w:eastAsia="仿宋_GB2312"/>
                <w:bCs/>
                <w:color w:val="000000"/>
                <w:szCs w:val="21"/>
                <w:highlight w:val="none"/>
              </w:rPr>
            </w:pPr>
            <w:r>
              <w:rPr>
                <w:rFonts w:hint="eastAsia" w:ascii="仿宋_GB2312" w:hAnsi="仿宋" w:eastAsia="仿宋_GB2312"/>
                <w:bCs/>
                <w:color w:val="000000"/>
                <w:szCs w:val="21"/>
                <w:highlight w:val="none"/>
              </w:rPr>
              <w:t>3.本公告执行期限为2022年1月1日至2024年12月31日。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
                <w:color w:val="000000"/>
                <w:szCs w:val="21"/>
                <w:lang w:eastAsia="zh-CN"/>
              </w:rPr>
            </w:pPr>
            <w:r>
              <w:rPr>
                <w:rFonts w:hint="eastAsia" w:ascii="仿宋_GB2312" w:hAnsi="仿宋" w:eastAsia="仿宋_GB2312"/>
                <w:bCs/>
                <w:color w:val="000000"/>
                <w:szCs w:val="21"/>
                <w:lang w:val="en-US" w:eastAsia="zh-CN"/>
              </w:rPr>
              <w:t>4</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《国家税务总局关于进一步实施小微企业“六税两费”减免政策有关征管问题的公告》（国家税务总局公告2022年第3号）</w:t>
            </w:r>
          </w:p>
        </w:tc>
        <w:tc>
          <w:tcPr>
            <w:tcW w:w="6308" w:type="dxa"/>
            <w:vAlign w:val="center"/>
          </w:tcPr>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1.关于小型微利企业“六税两费”减免政策的适用。</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1）适用“六税两费”减免政策的小型微利企业的判定以企业所得税年度汇算清缴（以下简称汇算清缴）结果为准。登记为增值税一般纳税人的企业，按规定办理汇算清缴后确定是小型微利企业的，除本条第（二）项规定外，可自办理汇算清缴当年的7月1日至次年6月30日申报享受“六税两费”减免优惠；2022年1月1日至6月30日期间，纳税人依据2021年办理2020年度汇算清缴的结果确定是否按照小型微利企业申报享受“六税两费”减免优惠。</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2）登记为增值税一般纳税人的新设立企业，从事国家非限制和禁止行业，且同时符合申报期上月末从业人数不超过300人、资产总额不超过5000万元两项条件的，按规定办理首次汇算清缴申报前，可按照小型微利企业申报享受“六税两费”减免优惠。</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登记为增值税一般纳税人的新设立企业，从事国家非限制和禁止行业，且同时符合设立时从业人数不超过300人、资产总额不超过5000万元两项条件的，设立当月依照有关规定按次申报有关“六税两费”时，可申报享受“六税两费”减免优惠。</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按规定办理首次汇算清缴后确定不属于小型微利企业的一般纳税人，自办理汇算清缴的次月1日至次年6月30日，不得再申报享受“六税两费”减免优惠；按次申报的，自首次办理汇算清缴确定不属于小型微利企业之日起至次年6月30日，不得再申报享受“六税两费”减免优惠。</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新设立企业按规定办理首次汇算清缴后，按规定申报当月及之前的“六税两费”的，依据首次汇算清缴结果确定是否可申报享受减免优惠。</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新设立企业按规定办理首次汇算清缴申报前，已按规定申报缴纳“六税两费”的，不再根据首次汇算清缴结果进行更正。</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3）登记为增值税一般纳税人的小型微利企业、新设立企业，逾期办理或更正汇算清缴申报的，应当依据逾期办理或更正申报的结果，按照本条第（一）项、第（二）项规定的“六税两费”减免税期间申报享受减免优惠，并应当对“六税两费”申报进行相应更正。</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2. 关于增值税小规模纳税人转为一般纳税人时“六税两费”减免政策的适用。增值税小规模纳税人按规定登记为一般纳税人的，自一般纳税人生效之日起不再按照增值税小规模纳税人适用“六税两费”减免政策。增值税年应税销售额超过小规模纳税人标准应当登记为一般纳税人而未登记，经税务机关通知，逾期仍不办理登记的，自逾期次月起不再按照增值税小规模纳税人申报享受“六税两费”减免优惠。上述纳税人如果符合本公告第一条规定的小型微利企业和新设立企业的情形，或登记为个体工商户，仍可申报享受“六税两费”减免优惠。</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3.关于纳税人未及时申报享受“六税两费”减免优惠的处理方式。纳税人符合条件但未及时申报享受“六税两费”减免优惠的，可依法申请抵减以后纳税期的应纳税费款或者申请退还。</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4.本公告执行期限为2022年1月1日至2024年12月31日。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lang w:eastAsia="zh-CN"/>
              </w:rPr>
            </w:pPr>
            <w:r>
              <w:rPr>
                <w:rFonts w:hint="eastAsia" w:ascii="仿宋_GB2312" w:hAnsi="仿宋" w:eastAsia="仿宋_GB2312"/>
                <w:bCs/>
                <w:color w:val="000000"/>
                <w:szCs w:val="21"/>
                <w:lang w:val="en-US" w:eastAsia="zh-CN"/>
              </w:rPr>
              <w:t>5</w:t>
            </w:r>
          </w:p>
        </w:tc>
        <w:tc>
          <w:tcPr>
            <w:tcW w:w="1624" w:type="dxa"/>
            <w:vAlign w:val="center"/>
          </w:tcPr>
          <w:p>
            <w:pPr>
              <w:pStyle w:val="3"/>
              <w:spacing w:line="240" w:lineRule="auto"/>
              <w:ind w:left="0" w:leftChars="0"/>
              <w:rPr>
                <w:rFonts w:ascii="仿宋_GB2312" w:hAnsi="仿宋" w:eastAsia="仿宋_GB2312"/>
                <w:bCs/>
                <w:color w:val="000000"/>
                <w:szCs w:val="21"/>
              </w:rPr>
            </w:pPr>
            <w:r>
              <w:rPr>
                <w:rFonts w:hint="eastAsia" w:ascii="仿宋_GB2312" w:hAnsi="仿宋" w:eastAsia="仿宋_GB2312"/>
                <w:bCs/>
                <w:color w:val="000000"/>
                <w:szCs w:val="21"/>
              </w:rPr>
              <w:t>《财政部 税务总局关于促进服务业领域困难行业纾困发展有关增值税政策的公告》（财政部 税务总局公告2022年第 11号）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rPr>
              <w:t xml:space="preserve"> </w:t>
            </w:r>
            <w:r>
              <w:rPr>
                <w:rFonts w:hint="eastAsia" w:ascii="仿宋_GB2312" w:hAnsi="仿宋" w:eastAsia="仿宋_GB2312"/>
                <w:bCs/>
                <w:color w:val="000000"/>
                <w:szCs w:val="21"/>
              </w:rPr>
              <w:t xml:space="preserve">《财政部 税务总局 海关总署关于深化增值税改革有关政策的公告》（财政部 税务总局 海关总署公告2019年39号）第七条和《财政部 税务总局关于明确生活性服务业增值税加计抵减政策的公告》（财政部 税务总局公告2019年第87号）规定的生产、生活性服务业增值税加计抵减政策，执行期限延长至2022年12月31日。 </w:t>
            </w:r>
          </w:p>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2</w:t>
            </w:r>
            <w:r>
              <w:rPr>
                <w:rFonts w:ascii="仿宋_GB2312" w:hAnsi="仿宋" w:eastAsia="仿宋_GB2312"/>
                <w:bCs/>
                <w:color w:val="000000"/>
                <w:szCs w:val="21"/>
              </w:rPr>
              <w:t>.</w:t>
            </w:r>
            <w:r>
              <w:rPr>
                <w:rFonts w:hint="eastAsia" w:ascii="仿宋_GB2312" w:hAnsi="仿宋" w:eastAsia="仿宋_GB2312"/>
                <w:bCs/>
                <w:color w:val="000000"/>
                <w:szCs w:val="21"/>
              </w:rPr>
              <w:t xml:space="preserve">自2022年1月1日至2022年12月31日，航空和铁路运输企业分支机构暂停预缴增值税。2022年2月纳税申报期至文件发布之日已预缴的增值税予以退还。 </w:t>
            </w:r>
          </w:p>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3</w:t>
            </w:r>
            <w:r>
              <w:rPr>
                <w:rFonts w:ascii="仿宋_GB2312" w:hAnsi="仿宋" w:eastAsia="仿宋_GB2312"/>
                <w:bCs/>
                <w:color w:val="000000"/>
                <w:szCs w:val="21"/>
              </w:rPr>
              <w:t>.</w:t>
            </w:r>
            <w:r>
              <w:rPr>
                <w:rFonts w:hint="eastAsia" w:ascii="仿宋_GB2312" w:hAnsi="仿宋" w:eastAsia="仿宋_GB2312"/>
                <w:bCs/>
                <w:color w:val="000000"/>
                <w:szCs w:val="21"/>
              </w:rPr>
              <w:t>自2022年1月1日至2022年12月31日，对纳税人提供公共交通运输服务取得的收入，免征增值税。公共交通运输服务的具体范围，按照《营业税改征增值税试点有关事项的规定》（财税〔2016〕36号印发）执行。在本公告发布之前已征收入库的按上述规定应予免征的增值税税款，可抵减纳税人以后月份应缴纳的增值税税款或者办理税款退库。已向购买方开具增值税专用发票的，应将专用发票追回后方可办理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lang w:eastAsia="zh-CN"/>
              </w:rPr>
            </w:pPr>
            <w:r>
              <w:rPr>
                <w:rFonts w:hint="eastAsia" w:ascii="仿宋_GB2312" w:hAnsi="仿宋" w:eastAsia="仿宋_GB2312"/>
                <w:bCs/>
                <w:color w:val="000000"/>
                <w:szCs w:val="21"/>
                <w:lang w:val="en-US" w:eastAsia="zh-CN"/>
              </w:rPr>
              <w:t>6</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《财政部 税务总局关于中小微企业设备器具所得税税前扣除有关政策的公告》（财政部 税务总局公告2022年第12号）</w:t>
            </w:r>
          </w:p>
        </w:tc>
        <w:tc>
          <w:tcPr>
            <w:tcW w:w="6308" w:type="dxa"/>
            <w:vAlign w:val="center"/>
          </w:tcPr>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1</w:t>
            </w:r>
            <w:r>
              <w:rPr>
                <w:rFonts w:ascii="仿宋_GB2312" w:hAnsi="仿宋" w:eastAsia="仿宋_GB2312"/>
                <w:bCs/>
                <w:color w:val="000000"/>
                <w:szCs w:val="21"/>
                <w:highlight w:val="none"/>
              </w:rPr>
              <w:t>.</w:t>
            </w:r>
            <w:r>
              <w:rPr>
                <w:rFonts w:hint="eastAsia" w:ascii="仿宋_GB2312" w:hAnsi="仿宋" w:eastAsia="仿宋_GB2312"/>
                <w:bCs/>
                <w:color w:val="000000"/>
                <w:szCs w:val="21"/>
                <w:highlight w:val="none"/>
              </w:rPr>
              <w:t xml:space="preserve">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 </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企业选择适用上述政策当年不足扣除形成的亏损，可在以后5个纳税年度结转弥补，享受其他延长亏损结转年限政策的企业可按现行规定执行。</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 xml:space="preserve">2.中小微企业可按季（月）在预缴申报时享受上述政策。本公告发布前企业在2022年已购置的设备、器具，可在本公告发布后的预缴申报、年度汇算清缴时享受。 </w:t>
            </w:r>
          </w:p>
          <w:p>
            <w:pPr>
              <w:spacing w:line="240" w:lineRule="auto"/>
              <w:jc w:val="left"/>
              <w:rPr>
                <w:rFonts w:ascii="仿宋_GB2312" w:hAnsi="仿宋" w:eastAsia="仿宋_GB2312"/>
                <w:bCs/>
                <w:color w:val="000000"/>
                <w:szCs w:val="21"/>
                <w:highlight w:val="none"/>
              </w:rPr>
            </w:pPr>
            <w:r>
              <w:rPr>
                <w:rFonts w:hint="eastAsia" w:ascii="仿宋_GB2312" w:hAnsi="仿宋" w:eastAsia="仿宋_GB2312"/>
                <w:bCs/>
                <w:color w:val="000000"/>
                <w:szCs w:val="21"/>
                <w:highlight w:val="none"/>
              </w:rPr>
              <w:t>3.中小微企业可根据自身生产经营核算需要自行选择享受上述政策，当年度未选择享受的，以后年度不得再变更享受。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24" w:type="dxa"/>
            <w:vAlign w:val="center"/>
          </w:tcPr>
          <w:p>
            <w:pPr>
              <w:spacing w:line="240" w:lineRule="auto"/>
              <w:jc w:val="center"/>
              <w:rPr>
                <w:rFonts w:hint="eastAsia" w:ascii="仿宋_GB2312" w:hAnsi="仿宋" w:eastAsia="仿宋_GB2312"/>
                <w:bCs/>
                <w:color w:val="000000"/>
                <w:szCs w:val="21"/>
                <w:lang w:eastAsia="zh-CN"/>
              </w:rPr>
            </w:pPr>
            <w:r>
              <w:rPr>
                <w:rFonts w:hint="eastAsia" w:ascii="仿宋_GB2312" w:hAnsi="仿宋" w:eastAsia="仿宋_GB2312"/>
                <w:bCs/>
                <w:color w:val="000000"/>
                <w:szCs w:val="21"/>
                <w:lang w:val="en-US" w:eastAsia="zh-CN"/>
              </w:rPr>
              <w:t>7</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《财政部 税务总局关于进一步实施小微企业“六税两费”减免政策的公告》（财政部 税务总局公告2022年第 10 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ascii="仿宋_GB2312" w:hAnsi="仿宋" w:eastAsia="仿宋_GB2312"/>
                <w:bCs/>
                <w:color w:val="000000"/>
                <w:szCs w:val="21"/>
              </w:rPr>
              <w:t xml:space="preserve">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 </w:t>
            </w:r>
          </w:p>
          <w:p>
            <w:pPr>
              <w:spacing w:line="240" w:lineRule="auto"/>
              <w:jc w:val="left"/>
              <w:rPr>
                <w:rFonts w:ascii="仿宋_GB2312" w:hAnsi="仿宋" w:eastAsia="仿宋_GB2312"/>
                <w:bCs/>
                <w:color w:val="000000"/>
                <w:szCs w:val="21"/>
              </w:rPr>
            </w:pPr>
            <w:r>
              <w:rPr>
                <w:rFonts w:ascii="仿宋_GB2312" w:hAnsi="仿宋" w:eastAsia="仿宋_GB2312"/>
                <w:bCs/>
                <w:color w:val="000000"/>
                <w:szCs w:val="21"/>
              </w:rPr>
              <w:t>2.</w:t>
            </w:r>
            <w:r>
              <w:rPr>
                <w:rFonts w:hint="eastAsia" w:ascii="仿宋_GB2312" w:hAnsi="仿宋" w:eastAsia="仿宋_GB2312"/>
                <w:bCs/>
                <w:color w:val="000000"/>
                <w:szCs w:val="21"/>
              </w:rPr>
              <w:t>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pStyle w:val="2"/>
              <w:ind w:left="0" w:leftChars="0" w:firstLine="0" w:firstLineChars="0"/>
              <w:jc w:val="left"/>
            </w:pPr>
            <w:r>
              <w:rPr>
                <w:rFonts w:hint="eastAsia" w:ascii="仿宋_GB2312" w:hAnsi="仿宋" w:eastAsia="仿宋_GB2312"/>
                <w:bCs/>
                <w:color w:val="000000"/>
                <w:szCs w:val="21"/>
              </w:rPr>
              <w:t>3</w:t>
            </w:r>
            <w:r>
              <w:rPr>
                <w:rFonts w:ascii="仿宋_GB2312" w:hAnsi="仿宋" w:eastAsia="仿宋_GB2312"/>
                <w:bCs/>
                <w:color w:val="000000"/>
                <w:szCs w:val="21"/>
              </w:rPr>
              <w:t>.</w:t>
            </w:r>
            <w:r>
              <w:rPr>
                <w:rFonts w:hint="eastAsia" w:ascii="仿宋_GB2312" w:hAnsi="仿宋" w:eastAsia="仿宋_GB2312"/>
                <w:bCs/>
                <w:color w:val="000000"/>
                <w:szCs w:val="21"/>
              </w:rPr>
              <w:t>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
                <w:color w:val="000000"/>
                <w:szCs w:val="21"/>
                <w:lang w:eastAsia="zh-CN"/>
              </w:rPr>
            </w:pPr>
            <w:r>
              <w:rPr>
                <w:rFonts w:hint="eastAsia" w:ascii="仿宋_GB2312" w:hAnsi="仿宋" w:eastAsia="仿宋_GB2312"/>
                <w:bCs/>
                <w:color w:val="000000"/>
                <w:szCs w:val="21"/>
                <w:lang w:val="en-US" w:eastAsia="zh-CN"/>
              </w:rPr>
              <w:t>8</w:t>
            </w:r>
          </w:p>
        </w:tc>
        <w:tc>
          <w:tcPr>
            <w:tcW w:w="1624" w:type="dxa"/>
            <w:vAlign w:val="center"/>
          </w:tcPr>
          <w:p>
            <w:pPr>
              <w:spacing w:line="240" w:lineRule="auto"/>
              <w:jc w:val="center"/>
              <w:rPr>
                <w:rFonts w:ascii="仿宋_GB2312" w:hAnsi="仿宋" w:eastAsia="仿宋_GB2312"/>
                <w:b/>
                <w:color w:val="000000"/>
                <w:szCs w:val="21"/>
              </w:rPr>
            </w:pPr>
            <w:r>
              <w:rPr>
                <w:rFonts w:hint="eastAsia" w:ascii="仿宋_GB2312" w:hAnsi="仿宋" w:eastAsia="仿宋_GB2312"/>
                <w:bCs/>
                <w:color w:val="000000"/>
                <w:szCs w:val="21"/>
              </w:rPr>
              <w:t>《国家发展改革委等12部门关于印发促进工业经济平稳增长的若干政策的通知》（发改产业〔2022〕273号）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1</w:t>
            </w:r>
            <w:r>
              <w:rPr>
                <w:rFonts w:ascii="仿宋_GB2312" w:hAnsi="仿宋" w:eastAsia="仿宋_GB2312"/>
                <w:bCs/>
                <w:color w:val="000000"/>
                <w:szCs w:val="21"/>
              </w:rPr>
              <w:t>.</w:t>
            </w:r>
            <w:r>
              <w:rPr>
                <w:rFonts w:hint="eastAsia" w:ascii="仿宋_GB2312" w:hAnsi="仿宋" w:eastAsia="仿宋_GB2312"/>
                <w:bCs/>
                <w:color w:val="000000"/>
                <w:szCs w:val="21"/>
              </w:rPr>
              <w:t xml:space="preserve"> 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适用政策的中小微企业范围：一是信息传输业、建筑业、租赁和商务服务业，标准为从业人员2000人以下，或营业收入10亿元以下，或资产总额12亿元以下；二是房地产开发经营，标准为营业收入20亿元以下或资产总额1亿元以下；三是其他行业，标准为从业人员1000人以下或营业收入4亿元以下。</w:t>
            </w:r>
          </w:p>
          <w:p>
            <w:pPr>
              <w:pStyle w:val="2"/>
              <w:spacing w:after="0" w:line="240" w:lineRule="auto"/>
              <w:ind w:left="0" w:leftChars="0" w:firstLine="0" w:firstLineChars="0"/>
              <w:rPr>
                <w:rFonts w:ascii="仿宋_GB2312" w:hAnsi="仿宋" w:eastAsia="仿宋_GB2312"/>
                <w:bCs/>
                <w:color w:val="000000"/>
                <w:szCs w:val="21"/>
              </w:rPr>
            </w:pPr>
            <w:r>
              <w:rPr>
                <w:rFonts w:ascii="仿宋_GB2312" w:hAnsi="仿宋" w:eastAsia="仿宋_GB2312"/>
                <w:bCs/>
                <w:color w:val="000000"/>
                <w:szCs w:val="21"/>
              </w:rPr>
              <w:t>2.</w:t>
            </w:r>
            <w:r>
              <w:rPr>
                <w:rFonts w:hint="eastAsia" w:ascii="仿宋_GB2312" w:hAnsi="仿宋" w:eastAsia="仿宋_GB2312"/>
                <w:bCs/>
                <w:color w:val="000000"/>
                <w:szCs w:val="21"/>
              </w:rPr>
              <w:t xml:space="preserve"> 扩大地方“六税两费”减免政策适用主体范围，加大小型微利企业所得税减免力度。</w:t>
            </w:r>
          </w:p>
          <w:p>
            <w:pPr>
              <w:pStyle w:val="2"/>
              <w:spacing w:after="0" w:line="240" w:lineRule="auto"/>
              <w:ind w:left="0" w:leftChars="0" w:firstLine="0" w:firstLineChars="0"/>
              <w:rPr>
                <w:rFonts w:ascii="仿宋_GB2312" w:hAnsi="仿宋" w:eastAsia="仿宋_GB2312"/>
                <w:bCs/>
                <w:color w:val="000000"/>
                <w:szCs w:val="21"/>
              </w:rPr>
            </w:pPr>
            <w:r>
              <w:rPr>
                <w:rFonts w:ascii="仿宋_GB2312" w:hAnsi="仿宋" w:eastAsia="仿宋_GB2312"/>
                <w:bCs/>
                <w:color w:val="000000"/>
                <w:szCs w:val="21"/>
              </w:rPr>
              <w:t>3.</w:t>
            </w:r>
            <w:r>
              <w:rPr>
                <w:rFonts w:hint="eastAsia" w:ascii="仿宋_GB2312" w:hAnsi="仿宋" w:eastAsia="仿宋_GB2312"/>
                <w:bCs/>
                <w:color w:val="000000"/>
                <w:szCs w:val="21"/>
              </w:rPr>
              <w:t>降低企业社保负担，</w:t>
            </w:r>
            <w:r>
              <w:rPr>
                <w:rFonts w:ascii="仿宋_GB2312" w:hAnsi="仿宋" w:eastAsia="仿宋_GB2312"/>
                <w:bCs/>
                <w:color w:val="000000"/>
                <w:szCs w:val="21"/>
              </w:rPr>
              <w:t>2022</w:t>
            </w:r>
            <w:r>
              <w:rPr>
                <w:rFonts w:hint="eastAsia" w:ascii="仿宋_GB2312" w:hAnsi="仿宋" w:eastAsia="仿宋_GB2312"/>
                <w:bCs/>
                <w:color w:val="000000"/>
                <w:szCs w:val="21"/>
              </w:rPr>
              <w:t>年延续实施阶段性降低失业保险、工伤保险费率政策。</w:t>
            </w:r>
          </w:p>
          <w:p>
            <w:pPr>
              <w:pStyle w:val="2"/>
              <w:spacing w:after="0" w:line="240" w:lineRule="auto"/>
              <w:ind w:left="0" w:leftChars="0" w:firstLine="0" w:firstLineChars="0"/>
              <w:rPr>
                <w:rFonts w:ascii="仿宋_GB2312" w:hAnsi="仿宋" w:eastAsia="仿宋_GB2312"/>
                <w:bCs/>
                <w:color w:val="000000"/>
                <w:szCs w:val="21"/>
              </w:rPr>
            </w:pPr>
            <w:r>
              <w:rPr>
                <w:rFonts w:hint="eastAsia" w:ascii="仿宋_GB2312" w:hAnsi="仿宋" w:eastAsia="仿宋_GB2312"/>
                <w:bCs/>
                <w:color w:val="000000"/>
                <w:szCs w:val="21"/>
              </w:rPr>
              <w:t>4</w:t>
            </w:r>
            <w:r>
              <w:rPr>
                <w:rFonts w:ascii="仿宋_GB2312" w:hAnsi="仿宋" w:eastAsia="仿宋_GB2312"/>
                <w:bCs/>
                <w:color w:val="000000"/>
                <w:szCs w:val="21"/>
              </w:rPr>
              <w:t>.</w:t>
            </w:r>
            <w:r>
              <w:rPr>
                <w:rFonts w:hint="eastAsia"/>
              </w:rPr>
              <w:t xml:space="preserve"> </w:t>
            </w:r>
            <w:r>
              <w:rPr>
                <w:rFonts w:hint="eastAsia" w:ascii="仿宋_GB2312" w:hAnsi="仿宋" w:eastAsia="仿宋_GB2312"/>
                <w:bCs/>
                <w:color w:val="000000"/>
                <w:szCs w:val="21"/>
              </w:rPr>
              <w:t>2022年人民银行对符合条件的地方法人银行，按普惠小微贷款余额增量的1%提供激励资金；符合条件的地方法人银行发放普惠小微信用贷款，可向人民银行申请再贷款优惠资金支持。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lang w:eastAsia="zh-CN"/>
              </w:rPr>
            </w:pPr>
            <w:r>
              <w:rPr>
                <w:rFonts w:hint="eastAsia" w:ascii="仿宋_GB2312" w:hAnsi="仿宋" w:eastAsia="仿宋_GB2312"/>
                <w:bCs/>
                <w:color w:val="000000"/>
                <w:szCs w:val="21"/>
                <w:lang w:val="en-US" w:eastAsia="zh-CN"/>
              </w:rPr>
              <w:t>9</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《财政部 工业和信息化部 科技部 发展改革委关于2022年新能源汽车推广应用财政补贴政策的通知》（财建〔2021〕466号）</w:t>
            </w:r>
          </w:p>
        </w:tc>
        <w:tc>
          <w:tcPr>
            <w:tcW w:w="6308" w:type="dxa"/>
            <w:vAlign w:val="center"/>
          </w:tcPr>
          <w:p>
            <w:pPr>
              <w:spacing w:line="240" w:lineRule="auto"/>
              <w:jc w:val="left"/>
              <w:rPr>
                <w:rFonts w:ascii="仿宋_GB2312" w:hAnsi="仿宋" w:eastAsia="仿宋_GB2312"/>
                <w:bCs/>
                <w:color w:val="000000"/>
                <w:szCs w:val="21"/>
              </w:rPr>
            </w:pPr>
            <w:r>
              <w:rPr>
                <w:rFonts w:ascii="仿宋_GB2312" w:hAnsi="仿宋" w:eastAsia="仿宋_GB2312"/>
                <w:bCs/>
                <w:color w:val="000000"/>
                <w:szCs w:val="21"/>
              </w:rPr>
              <w:t>1.</w:t>
            </w:r>
            <w:r>
              <w:rPr>
                <w:rFonts w:hint="eastAsia" w:ascii="仿宋_GB2312" w:hAnsi="仿宋" w:eastAsia="仿宋_GB2312"/>
                <w:bCs/>
                <w:color w:val="000000"/>
                <w:szCs w:val="21"/>
              </w:rPr>
              <w:t>2022年，新能源汽车补贴标准在2021年基础上退坡30%；城市公交、道路客运、出租（含网约车）、环卫、城市物流配送、邮政快递、民航机场以及党政机关公务领域符合要求的车辆，补贴标准在2021年基础上退坡20%。</w:t>
            </w:r>
          </w:p>
          <w:p>
            <w:pPr>
              <w:pStyle w:val="2"/>
              <w:spacing w:after="0" w:line="240" w:lineRule="auto"/>
              <w:ind w:left="0" w:leftChars="0" w:firstLine="0" w:firstLineChars="0"/>
              <w:rPr>
                <w:rFonts w:ascii="仿宋_GB2312" w:hAnsi="仿宋" w:eastAsia="仿宋_GB2312"/>
                <w:bCs/>
                <w:color w:val="000000"/>
                <w:szCs w:val="21"/>
              </w:rPr>
            </w:pPr>
            <w:r>
              <w:rPr>
                <w:rFonts w:hint="eastAsia" w:ascii="仿宋_GB2312" w:hAnsi="仿宋" w:eastAsia="仿宋_GB2312"/>
                <w:bCs/>
                <w:color w:val="000000"/>
                <w:szCs w:val="21"/>
              </w:rPr>
              <w:t>2</w:t>
            </w:r>
            <w:r>
              <w:rPr>
                <w:rFonts w:ascii="仿宋_GB2312" w:hAnsi="仿宋" w:eastAsia="仿宋_GB2312"/>
                <w:bCs/>
                <w:color w:val="000000"/>
                <w:szCs w:val="21"/>
              </w:rPr>
              <w:t>.</w:t>
            </w:r>
            <w:r>
              <w:rPr>
                <w:rFonts w:hint="eastAsia"/>
              </w:rPr>
              <w:t xml:space="preserve"> </w:t>
            </w:r>
            <w:r>
              <w:rPr>
                <w:rFonts w:hint="eastAsia" w:ascii="仿宋_GB2312" w:hAnsi="仿宋" w:eastAsia="仿宋_GB2312"/>
                <w:bCs/>
                <w:color w:val="000000"/>
                <w:szCs w:val="21"/>
              </w:rPr>
              <w:t>本通知从2022年1月1日起实施。</w:t>
            </w:r>
          </w:p>
          <w:p>
            <w:pPr>
              <w:pStyle w:val="2"/>
              <w:spacing w:after="0" w:line="240" w:lineRule="auto"/>
              <w:ind w:left="0" w:leftChars="0" w:firstLine="0" w:firstLineChars="0"/>
              <w:rPr>
                <w:rFonts w:ascii="仿宋_GB2312" w:hAnsi="仿宋" w:eastAsia="仿宋_GB2312"/>
                <w:bCs/>
                <w:color w:val="000000"/>
                <w:szCs w:val="21"/>
              </w:rPr>
            </w:pPr>
            <w:r>
              <w:rPr>
                <w:rFonts w:ascii="仿宋_GB2312" w:hAnsi="仿宋" w:eastAsia="仿宋_GB2312"/>
                <w:bCs/>
                <w:color w:val="000000"/>
                <w:szCs w:val="21"/>
              </w:rPr>
              <w:t>3</w:t>
            </w:r>
            <w:r>
              <w:rPr>
                <w:rFonts w:hint="eastAsia" w:ascii="仿宋_GB2312" w:hAnsi="仿宋" w:eastAsia="仿宋_GB2312"/>
                <w:bCs/>
                <w:color w:val="000000"/>
                <w:szCs w:val="21"/>
              </w:rPr>
              <w:t>.</w:t>
            </w:r>
            <w:r>
              <w:rPr>
                <w:rFonts w:ascii="仿宋_GB2312" w:hAnsi="仿宋" w:eastAsia="仿宋_GB2312"/>
                <w:bCs/>
                <w:color w:val="000000"/>
                <w:szCs w:val="21"/>
              </w:rPr>
              <w:t xml:space="preserve"> </w:t>
            </w:r>
            <w:r>
              <w:rPr>
                <w:rFonts w:hint="eastAsia" w:ascii="仿宋_GB2312" w:hAnsi="仿宋" w:eastAsia="仿宋_GB2312"/>
                <w:bCs/>
                <w:color w:val="000000"/>
                <w:szCs w:val="21"/>
              </w:rPr>
              <w:t>本通知明确的2022年新能源汽车购置补贴政策于2022年12月31日终止，2022年12月31日之后上牌的车辆不再给予补贴。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default" w:ascii="仿宋_GB2312" w:hAnsi="仿宋" w:eastAsia="仿宋_GB2312"/>
                <w:bCs/>
                <w:color w:val="000000"/>
                <w:szCs w:val="21"/>
                <w:lang w:val="en-US" w:eastAsia="zh-CN"/>
              </w:rPr>
            </w:pPr>
            <w:bookmarkStart w:id="0" w:name="_Hlk97189579"/>
            <w:r>
              <w:rPr>
                <w:rFonts w:hint="eastAsia" w:ascii="仿宋_GB2312" w:hAnsi="仿宋" w:eastAsia="仿宋_GB2312"/>
                <w:bCs/>
                <w:color w:val="000000"/>
                <w:szCs w:val="21"/>
                <w:lang w:val="en-US" w:eastAsia="zh-CN"/>
              </w:rPr>
              <w:t>10</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《国家税务总局 财政部关于延续实施制造业中小微企业延缓缴纳部分税费有关事项的公告 》（国家税务总局 财政部公告2022年第2号）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1.</w:t>
            </w:r>
            <w:r>
              <w:rPr>
                <w:rFonts w:hint="eastAsia"/>
              </w:rPr>
              <w:t xml:space="preserve"> </w:t>
            </w:r>
            <w:r>
              <w:rPr>
                <w:rFonts w:hint="eastAsia" w:ascii="仿宋_GB2312" w:hAnsi="仿宋" w:eastAsia="仿宋_GB2312"/>
                <w:bCs/>
                <w:color w:val="000000"/>
                <w:szCs w:val="21"/>
              </w:rPr>
              <w:t>继续延缓缴纳2021年第四季度部分税费。《国家税务总局</w:t>
            </w:r>
            <w:r>
              <w:rPr>
                <w:rFonts w:ascii="仿宋_GB2312" w:hAnsi="仿宋" w:eastAsia="仿宋_GB2312"/>
                <w:bCs/>
                <w:color w:val="000000"/>
                <w:szCs w:val="21"/>
              </w:rPr>
              <w:t> </w:t>
            </w:r>
            <w:r>
              <w:rPr>
                <w:rFonts w:hint="eastAsia" w:ascii="仿宋_GB2312" w:hAnsi="仿宋" w:eastAsia="仿宋_GB2312"/>
                <w:bCs/>
                <w:color w:val="000000"/>
                <w:szCs w:val="21"/>
              </w:rPr>
              <w:t>财政部关于制造业中小微企业延缓缴纳</w:t>
            </w:r>
            <w:r>
              <w:rPr>
                <w:rFonts w:ascii="仿宋_GB2312" w:hAnsi="仿宋" w:eastAsia="仿宋_GB2312"/>
                <w:bCs/>
                <w:color w:val="000000"/>
                <w:szCs w:val="21"/>
              </w:rPr>
              <w:t>2021</w:t>
            </w:r>
            <w:r>
              <w:rPr>
                <w:rFonts w:hint="eastAsia" w:ascii="仿宋_GB2312" w:hAnsi="仿宋" w:eastAsia="仿宋_GB2312"/>
                <w:bCs/>
                <w:color w:val="000000"/>
                <w:szCs w:val="21"/>
              </w:rPr>
              <w:t>年第四季度部分税费有关事项的公告》（</w:t>
            </w:r>
            <w:r>
              <w:rPr>
                <w:rFonts w:ascii="仿宋_GB2312" w:hAnsi="仿宋" w:eastAsia="仿宋_GB2312"/>
                <w:bCs/>
                <w:color w:val="000000"/>
                <w:szCs w:val="21"/>
              </w:rPr>
              <w:t>2021</w:t>
            </w:r>
            <w:r>
              <w:rPr>
                <w:rFonts w:hint="eastAsia" w:ascii="仿宋_GB2312" w:hAnsi="仿宋" w:eastAsia="仿宋_GB2312"/>
                <w:bCs/>
                <w:color w:val="000000"/>
                <w:szCs w:val="21"/>
              </w:rPr>
              <w:t>年第</w:t>
            </w:r>
            <w:r>
              <w:rPr>
                <w:rFonts w:ascii="仿宋_GB2312" w:hAnsi="仿宋" w:eastAsia="仿宋_GB2312"/>
                <w:bCs/>
                <w:color w:val="000000"/>
                <w:szCs w:val="21"/>
              </w:rPr>
              <w:t>30</w:t>
            </w:r>
            <w:r>
              <w:rPr>
                <w:rFonts w:hint="eastAsia" w:ascii="仿宋_GB2312" w:hAnsi="仿宋" w:eastAsia="仿宋_GB2312"/>
                <w:bCs/>
                <w:color w:val="000000"/>
                <w:szCs w:val="21"/>
              </w:rPr>
              <w:t>号）规定的制造业中小微企业延缓缴纳</w:t>
            </w:r>
            <w:r>
              <w:rPr>
                <w:rFonts w:ascii="仿宋_GB2312" w:hAnsi="仿宋" w:eastAsia="仿宋_GB2312"/>
                <w:bCs/>
                <w:color w:val="000000"/>
                <w:szCs w:val="21"/>
              </w:rPr>
              <w:t>2021</w:t>
            </w:r>
            <w:r>
              <w:rPr>
                <w:rFonts w:hint="eastAsia" w:ascii="仿宋_GB2312" w:hAnsi="仿宋" w:eastAsia="仿宋_GB2312"/>
                <w:bCs/>
                <w:color w:val="000000"/>
                <w:szCs w:val="21"/>
              </w:rPr>
              <w:t>年第四季度部分税费政策，缓缴期限继续延长</w:t>
            </w:r>
            <w:r>
              <w:rPr>
                <w:rFonts w:ascii="仿宋_GB2312" w:hAnsi="仿宋" w:eastAsia="仿宋_GB2312"/>
                <w:bCs/>
                <w:color w:val="000000"/>
                <w:szCs w:val="21"/>
              </w:rPr>
              <w:t>6</w:t>
            </w:r>
            <w:r>
              <w:rPr>
                <w:rFonts w:hint="eastAsia" w:ascii="仿宋_GB2312" w:hAnsi="仿宋" w:eastAsia="仿宋_GB2312"/>
                <w:bCs/>
                <w:color w:val="000000"/>
                <w:szCs w:val="21"/>
              </w:rPr>
              <w:t>个月。上述企业2021年第四季度延缓缴纳的税费在2022年1月1日后本公告施行前已缴纳入库的，可自愿选择申请办理退税（费）并享受延续缓缴政策。</w:t>
            </w:r>
          </w:p>
          <w:p>
            <w:pPr>
              <w:pStyle w:val="2"/>
              <w:spacing w:after="0" w:line="240" w:lineRule="auto"/>
              <w:ind w:left="0" w:leftChars="0" w:firstLine="0" w:firstLineChars="0"/>
              <w:rPr>
                <w:rFonts w:ascii="仿宋_GB2312" w:hAnsi="仿宋" w:eastAsia="仿宋_GB2312"/>
                <w:bCs/>
                <w:color w:val="000000"/>
                <w:szCs w:val="21"/>
              </w:rPr>
            </w:pPr>
            <w:r>
              <w:rPr>
                <w:rFonts w:hint="eastAsia" w:ascii="仿宋_GB2312" w:hAnsi="仿宋" w:eastAsia="仿宋_GB2312"/>
                <w:bCs/>
                <w:color w:val="000000"/>
                <w:szCs w:val="21"/>
              </w:rPr>
              <w:t>2. 延缓缴纳2022年第一季度、第二季度部分税费。</w:t>
            </w:r>
          </w:p>
          <w:p>
            <w:pPr>
              <w:pStyle w:val="2"/>
              <w:spacing w:after="0" w:line="240" w:lineRule="auto"/>
              <w:ind w:left="0" w:leftChars="0" w:firstLine="0" w:firstLineChars="0"/>
              <w:rPr>
                <w:rFonts w:ascii="仿宋_GB2312" w:hAnsi="仿宋" w:eastAsia="仿宋_GB2312"/>
                <w:bCs/>
                <w:color w:val="000000"/>
                <w:szCs w:val="21"/>
              </w:rPr>
            </w:pPr>
            <w:r>
              <w:rPr>
                <w:rFonts w:hint="eastAsia" w:ascii="仿宋_GB2312" w:hAnsi="仿宋" w:eastAsia="仿宋_GB2312"/>
                <w:bCs/>
                <w:color w:val="000000"/>
                <w:szCs w:val="21"/>
              </w:rPr>
              <w:t>（1）符合本公告规定条件的制造业中小微企业，在依法办理纳税申报后，制造业中型企业可以延缓缴纳本公告规定的各项税费金额的50%，制造业小微企业可以延缓缴纳本公告规定的全部税费，延缓的期限为6个月。延缓期限届满，纳税人应依法缴纳相应月份或者季度的税费。</w:t>
            </w:r>
          </w:p>
          <w:p>
            <w:pPr>
              <w:pStyle w:val="2"/>
              <w:spacing w:after="0" w:line="240" w:lineRule="auto"/>
              <w:ind w:left="0" w:leftChars="0" w:firstLine="0" w:firstLineChars="0"/>
              <w:rPr>
                <w:rFonts w:ascii="仿宋_GB2312" w:hAnsi="仿宋" w:eastAsia="仿宋_GB2312"/>
                <w:bCs/>
                <w:color w:val="000000"/>
                <w:szCs w:val="21"/>
              </w:rPr>
            </w:pPr>
            <w:r>
              <w:rPr>
                <w:rFonts w:hint="eastAsia" w:ascii="仿宋_GB2312" w:hAnsi="仿宋" w:eastAsia="仿宋_GB2312"/>
                <w:bCs/>
                <w:color w:val="000000"/>
                <w:szCs w:val="21"/>
              </w:rPr>
              <w:t>（</w:t>
            </w:r>
            <w:r>
              <w:rPr>
                <w:rFonts w:ascii="仿宋_GB2312" w:hAnsi="仿宋" w:eastAsia="仿宋_GB2312"/>
                <w:bCs/>
                <w:color w:val="000000"/>
                <w:szCs w:val="21"/>
              </w:rPr>
              <w:t>2</w:t>
            </w:r>
            <w:r>
              <w:rPr>
                <w:rFonts w:hint="eastAsia" w:ascii="仿宋_GB2312" w:hAnsi="仿宋" w:eastAsia="仿宋_GB2312"/>
                <w:bCs/>
                <w:color w:val="000000"/>
                <w:szCs w:val="21"/>
              </w:rPr>
              <w:t>）本公告所称制造业中型企业是指国民经济行业分类中行业门类为制造业，且年销售额2000万元以上（含2000万元）4亿元以下（不含4亿元）的企业。制造业小微企业是指国民经济行业分类中行业门类为制造业，且年销售额2000万元以下（不含2000万元）的企业。</w:t>
            </w:r>
          </w:p>
          <w:p>
            <w:pPr>
              <w:pStyle w:val="12"/>
              <w:widowControl w:val="0"/>
              <w:spacing w:before="0" w:beforeAutospacing="0" w:after="0" w:afterAutospacing="0"/>
              <w:jc w:val="both"/>
            </w:pPr>
            <w:r>
              <w:rPr>
                <w:rFonts w:hint="eastAsia" w:ascii="仿宋_GB2312" w:hAnsi="仿宋" w:eastAsia="仿宋_GB2312" w:cs="Times New Roman"/>
                <w:bCs/>
                <w:color w:val="000000"/>
                <w:kern w:val="2"/>
                <w:sz w:val="21"/>
                <w:szCs w:val="21"/>
              </w:rPr>
              <w:t>（</w:t>
            </w:r>
            <w:r>
              <w:rPr>
                <w:rFonts w:ascii="仿宋_GB2312" w:hAnsi="仿宋" w:eastAsia="仿宋_GB2312" w:cs="Times New Roman"/>
                <w:bCs/>
                <w:color w:val="000000"/>
                <w:kern w:val="2"/>
                <w:sz w:val="21"/>
                <w:szCs w:val="21"/>
              </w:rPr>
              <w:t>3</w:t>
            </w:r>
            <w:r>
              <w:rPr>
                <w:rFonts w:hint="eastAsia" w:ascii="仿宋_GB2312" w:hAnsi="仿宋" w:eastAsia="仿宋_GB2312" w:cs="Times New Roman"/>
                <w:bCs/>
                <w:color w:val="000000"/>
                <w:kern w:val="2"/>
                <w:sz w:val="21"/>
                <w:szCs w:val="21"/>
              </w:rPr>
              <w:t>）延缓缴纳的税费包括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对于在本公告施行前已缴纳入库的所属期为2022年1月的上述税费，企业可自愿选择申请办理退税（费）并享受缓缴政策。</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default" w:ascii="仿宋_GB2312" w:hAnsi="仿宋" w:eastAsia="仿宋_GB2312"/>
                <w:bCs/>
                <w:color w:val="000000"/>
                <w:szCs w:val="21"/>
                <w:lang w:val="en-US" w:eastAsia="zh-CN"/>
              </w:rPr>
            </w:pPr>
            <w:r>
              <w:rPr>
                <w:rFonts w:hint="eastAsia" w:ascii="仿宋_GB2312" w:hAnsi="仿宋" w:eastAsia="仿宋_GB2312"/>
                <w:bCs/>
                <w:color w:val="000000"/>
                <w:szCs w:val="21"/>
                <w:lang w:val="en-US" w:eastAsia="zh-CN"/>
              </w:rPr>
              <w:t>11</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《财政部 税务总局关于延长部分税收优惠政策执行期限的公告》（财政部 税务总局公告2022年第 4 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《财政部 税务总局 科技部 教育部关于科技企业孵化器 大学科技园和众创空间税收政策的通知》（财税〔2018〕120号）、《财政部 税务总局关于继续对城市公交站场 道路客运站场 城市轨道交通系统减免城镇土地使用税优惠政策的通知》（财税〔2019〕11号）、《财政部 税务总局关于继续实行农产品批发市场 农贸市场房产税 城镇土地使用税优惠政策的通知》（财税〔2019〕12号）、《财政部 税务总局关于高校学生公寓房产税 印花税政策的通知》（财税〔2019〕14号）、《财政部 税务总局 退役军人部关于进一步扶持自主就业退役士兵创业就业有关税收政策的通知》（财税〔2019〕21号）、《财政部 税务总局 国家发展改革委 生态环境部关于从事污染防治的第三方企业所得税政策问题的公告》（财政部 税务总局 国家发展改革委 生态环境部公告2019年第60号）、《财政部 税务总局关于支持新型冠状病毒感染的肺炎疫情防控有关个人所得税政策的公告》（财政部 税务总局公告2020年第10号）中规定的税收优惠政策，执行期限延长至2023年12月31日。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default" w:ascii="仿宋_GB2312" w:hAnsi="仿宋" w:eastAsia="仿宋_GB2312"/>
                <w:bCs/>
                <w:color w:val="000000"/>
                <w:szCs w:val="21"/>
                <w:lang w:val="en-US" w:eastAsia="zh-CN"/>
              </w:rPr>
            </w:pPr>
            <w:r>
              <w:rPr>
                <w:rFonts w:hint="eastAsia" w:ascii="仿宋_GB2312" w:hAnsi="仿宋" w:eastAsia="仿宋_GB2312"/>
                <w:bCs/>
                <w:color w:val="000000"/>
                <w:szCs w:val="21"/>
                <w:lang w:val="en-US" w:eastAsia="zh-CN"/>
              </w:rPr>
              <w:t>12</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《财政部 交通运输部关于调整农村客运、出租车油价补贴政策的通知》（财建〔2022〕1号）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1.“十四五”期间各省城市交通发展奖励资金涨价补贴中的30%由各地用于支持出租车加快电动化，70%由各地统筹用于支持城市交通领域新能源汽车运营。同时，各省从当地城市交通发展奖励资金中，给予本省国家公交都市建设示范城市每城市每年500万元专项奖励资金，给予本省绿色货运配送示范城市每城市每年300万元专项奖励资金，用于支持示范创建工作。</w:t>
            </w:r>
          </w:p>
          <w:p>
            <w:pPr>
              <w:pStyle w:val="2"/>
              <w:spacing w:after="0" w:line="240" w:lineRule="auto"/>
              <w:ind w:left="0" w:leftChars="0" w:firstLine="0" w:firstLineChars="0"/>
              <w:rPr>
                <w:rFonts w:ascii="仿宋_GB2312" w:hAnsi="仿宋" w:eastAsia="仿宋_GB2312"/>
                <w:bCs/>
                <w:color w:val="000000"/>
                <w:szCs w:val="21"/>
              </w:rPr>
            </w:pPr>
            <w:r>
              <w:rPr>
                <w:rFonts w:hint="eastAsia" w:ascii="仿宋_GB2312" w:hAnsi="仿宋" w:eastAsia="仿宋_GB2312"/>
                <w:bCs/>
                <w:color w:val="000000"/>
                <w:szCs w:val="21"/>
              </w:rPr>
              <w:t xml:space="preserve">2. </w:t>
            </w:r>
            <w:r>
              <w:rPr>
                <w:rFonts w:ascii="仿宋_GB2312" w:hAnsi="仿宋" w:eastAsia="仿宋_GB2312"/>
                <w:bCs/>
                <w:color w:val="000000"/>
                <w:szCs w:val="21"/>
              </w:rPr>
              <w:t>2</w:t>
            </w:r>
            <w:r>
              <w:rPr>
                <w:rFonts w:hint="eastAsia" w:ascii="仿宋_GB2312" w:hAnsi="仿宋" w:eastAsia="仿宋_GB2312"/>
                <w:bCs/>
                <w:color w:val="000000"/>
                <w:szCs w:val="21"/>
              </w:rPr>
              <w:t>020年农村客运、出租车油价补贴政策延用2015-2019年的补贴政策，其中涨价补贴以2014年实际执行数作为基数，由地方统筹部分不低于60%，用于公共交通发展、新能源出租车和农村客运补贴、水路客运行业结构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24" w:type="dxa"/>
            <w:vAlign w:val="center"/>
          </w:tcPr>
          <w:p>
            <w:pPr>
              <w:spacing w:line="240" w:lineRule="auto"/>
              <w:jc w:val="center"/>
              <w:rPr>
                <w:rFonts w:hint="eastAsia" w:ascii="仿宋_GB2312" w:hAnsi="仿宋" w:eastAsia="仿宋_GB2312"/>
                <w:bCs/>
                <w:color w:val="000000"/>
                <w:szCs w:val="21"/>
                <w:lang w:eastAsia="zh-CN"/>
              </w:rPr>
            </w:pPr>
            <w:r>
              <w:rPr>
                <w:rFonts w:ascii="仿宋_GB2312" w:hAnsi="仿宋" w:eastAsia="仿宋_GB2312"/>
                <w:bCs/>
                <w:color w:val="000000"/>
                <w:szCs w:val="21"/>
              </w:rPr>
              <w:t>1</w:t>
            </w:r>
            <w:r>
              <w:rPr>
                <w:rFonts w:hint="eastAsia" w:ascii="仿宋_GB2312" w:hAnsi="仿宋" w:eastAsia="仿宋_GB2312"/>
                <w:bCs/>
                <w:color w:val="000000"/>
                <w:szCs w:val="21"/>
                <w:lang w:val="en-US" w:eastAsia="zh-CN"/>
              </w:rPr>
              <w:t>3</w:t>
            </w:r>
          </w:p>
        </w:tc>
        <w:tc>
          <w:tcPr>
            <w:tcW w:w="1624" w:type="dxa"/>
            <w:vAlign w:val="center"/>
          </w:tcPr>
          <w:p>
            <w:pPr>
              <w:spacing w:line="240" w:lineRule="auto"/>
              <w:jc w:val="center"/>
              <w:rPr>
                <w:rFonts w:ascii="仿宋_GB2312" w:hAnsi="仿宋" w:eastAsia="仿宋_GB2312"/>
                <w:bCs/>
                <w:color w:val="000000"/>
                <w:szCs w:val="21"/>
              </w:rPr>
            </w:pPr>
            <w:r>
              <w:rPr>
                <w:rFonts w:hint="eastAsia" w:ascii="仿宋_GB2312" w:hAnsi="仿宋" w:eastAsia="仿宋_GB2312"/>
                <w:bCs/>
                <w:color w:val="000000"/>
                <w:szCs w:val="21"/>
              </w:rPr>
              <w:t>《财政部 税务总局关于基础设施领域不动产投资信托基金（REITs）试点税收政策的公告》（财政部 税务总局公告2022年第 3 号）</w:t>
            </w:r>
          </w:p>
        </w:tc>
        <w:tc>
          <w:tcPr>
            <w:tcW w:w="6308" w:type="dxa"/>
            <w:vAlign w:val="center"/>
          </w:tcPr>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1.</w:t>
            </w:r>
            <w:r>
              <w:rPr>
                <w:rFonts w:hint="eastAsia"/>
              </w:rPr>
              <w:t xml:space="preserve"> </w:t>
            </w:r>
            <w:r>
              <w:rPr>
                <w:rFonts w:hint="eastAsia" w:ascii="仿宋_GB2312" w:hAnsi="仿宋" w:eastAsia="仿宋_GB2312"/>
                <w:bCs/>
                <w:color w:val="000000"/>
                <w:szCs w:val="21"/>
              </w:rPr>
              <w:t xml:space="preserve">设立基础设施REITs前，原始权益人向项目公司划转基础设施资产相应取得项目公司股权，适用特殊性税务处理，即项目公司取得基础设施资产的计税基础，以基础设施资产的原计税基础确定；原始权益人取得项目公司股权的计税基础，以基础设施资产的原计税基础确定。原始权益人和项目公司不确认所得，不征收企业所得税。 </w:t>
            </w:r>
          </w:p>
          <w:p>
            <w:pPr>
              <w:spacing w:line="240" w:lineRule="auto"/>
              <w:jc w:val="left"/>
              <w:rPr>
                <w:rFonts w:ascii="仿宋_GB2312" w:hAnsi="仿宋" w:eastAsia="仿宋_GB2312"/>
                <w:bCs/>
                <w:color w:val="000000"/>
                <w:szCs w:val="21"/>
              </w:rPr>
            </w:pPr>
            <w:r>
              <w:rPr>
                <w:rFonts w:hint="eastAsia" w:ascii="仿宋_GB2312" w:hAnsi="仿宋" w:eastAsia="仿宋_GB2312"/>
                <w:bCs/>
                <w:color w:val="000000"/>
                <w:szCs w:val="21"/>
              </w:rPr>
              <w:t>2.基础设施REITs设立阶段，原始权益人向基础设施REITs转让项目公司股权实现的资产转让评估增值，当期可暂不缴纳企业所得税，允许递延至基础设施REITs完成募资并支付股权转让价款后缴纳。其中，对原始权益人按照战略配售要求自持的基础设施REITs份额对应的资产转让评估增值，允许递延至实际转让时缴纳企业所得税。原始权益人通过二级市场认购（增持）该基础设施REITs份额，按照先进先出原则认定优先处置战略配售份额。</w:t>
            </w:r>
          </w:p>
          <w:p>
            <w:pPr>
              <w:pStyle w:val="2"/>
              <w:spacing w:line="240" w:lineRule="auto"/>
              <w:ind w:left="0" w:leftChars="0" w:firstLine="0" w:firstLineChars="0"/>
              <w:rPr>
                <w:rFonts w:ascii="仿宋_GB2312" w:hAnsi="仿宋" w:eastAsia="仿宋_GB2312"/>
                <w:bCs/>
                <w:color w:val="000000"/>
                <w:szCs w:val="21"/>
              </w:rPr>
            </w:pPr>
            <w:r>
              <w:rPr>
                <w:rFonts w:ascii="仿宋_GB2312" w:hAnsi="仿宋" w:eastAsia="仿宋_GB2312"/>
                <w:bCs/>
                <w:color w:val="000000"/>
                <w:szCs w:val="21"/>
              </w:rPr>
              <w:t>3</w:t>
            </w:r>
            <w:r>
              <w:rPr>
                <w:rFonts w:hint="eastAsia" w:ascii="仿宋_GB2312" w:hAnsi="仿宋" w:eastAsia="仿宋_GB2312"/>
                <w:bCs/>
                <w:color w:val="000000"/>
                <w:szCs w:val="21"/>
              </w:rPr>
              <w:t xml:space="preserve">. 本公告适用范围为证监会、发展改革委根据有关规定组织开展的基础设施REITs试点项目。 </w:t>
            </w:r>
          </w:p>
          <w:p>
            <w:pPr>
              <w:pStyle w:val="2"/>
              <w:spacing w:line="240" w:lineRule="auto"/>
              <w:ind w:left="0" w:leftChars="0" w:firstLine="0" w:firstLineChars="0"/>
            </w:pPr>
            <w:r>
              <w:rPr>
                <w:rFonts w:hint="eastAsia" w:ascii="仿宋_GB2312" w:hAnsi="仿宋" w:eastAsia="仿宋_GB2312"/>
                <w:bCs/>
                <w:color w:val="000000"/>
                <w:szCs w:val="21"/>
              </w:rPr>
              <w:t>4.本公告自2021年1月1日起实施。</w:t>
            </w:r>
          </w:p>
        </w:tc>
      </w:tr>
    </w:tbl>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21"/>
    <w:rsid w:val="0001092D"/>
    <w:rsid w:val="00012E38"/>
    <w:rsid w:val="00024B23"/>
    <w:rsid w:val="00025449"/>
    <w:rsid w:val="00071299"/>
    <w:rsid w:val="00081C8D"/>
    <w:rsid w:val="000D33EE"/>
    <w:rsid w:val="00110C9E"/>
    <w:rsid w:val="00141E37"/>
    <w:rsid w:val="002512A7"/>
    <w:rsid w:val="002A5B75"/>
    <w:rsid w:val="002E4DB7"/>
    <w:rsid w:val="00301021"/>
    <w:rsid w:val="00315E23"/>
    <w:rsid w:val="00350277"/>
    <w:rsid w:val="0036279D"/>
    <w:rsid w:val="003A25AD"/>
    <w:rsid w:val="003B559F"/>
    <w:rsid w:val="004113CC"/>
    <w:rsid w:val="0045799E"/>
    <w:rsid w:val="004C688C"/>
    <w:rsid w:val="004F1C7F"/>
    <w:rsid w:val="005153EB"/>
    <w:rsid w:val="00517C01"/>
    <w:rsid w:val="0054267C"/>
    <w:rsid w:val="00560DFE"/>
    <w:rsid w:val="00564185"/>
    <w:rsid w:val="005702DA"/>
    <w:rsid w:val="005C18F3"/>
    <w:rsid w:val="005D2404"/>
    <w:rsid w:val="005D2572"/>
    <w:rsid w:val="005E7284"/>
    <w:rsid w:val="00603F52"/>
    <w:rsid w:val="00605DC8"/>
    <w:rsid w:val="00612D6B"/>
    <w:rsid w:val="0068701F"/>
    <w:rsid w:val="006941C1"/>
    <w:rsid w:val="006C1124"/>
    <w:rsid w:val="006E4570"/>
    <w:rsid w:val="006F1740"/>
    <w:rsid w:val="00757E09"/>
    <w:rsid w:val="00764279"/>
    <w:rsid w:val="00787418"/>
    <w:rsid w:val="007B1C12"/>
    <w:rsid w:val="007B498A"/>
    <w:rsid w:val="007C392C"/>
    <w:rsid w:val="007E4828"/>
    <w:rsid w:val="00831EB1"/>
    <w:rsid w:val="008A3380"/>
    <w:rsid w:val="008F597F"/>
    <w:rsid w:val="00961964"/>
    <w:rsid w:val="00963B6B"/>
    <w:rsid w:val="00A514B8"/>
    <w:rsid w:val="00A66EFB"/>
    <w:rsid w:val="00AB6B99"/>
    <w:rsid w:val="00AC2BC8"/>
    <w:rsid w:val="00B106B3"/>
    <w:rsid w:val="00BE660A"/>
    <w:rsid w:val="00C545D8"/>
    <w:rsid w:val="00C97F05"/>
    <w:rsid w:val="00D132EA"/>
    <w:rsid w:val="00D91923"/>
    <w:rsid w:val="00E215C8"/>
    <w:rsid w:val="00E5056E"/>
    <w:rsid w:val="00E71EDC"/>
    <w:rsid w:val="00E770FB"/>
    <w:rsid w:val="00E8441C"/>
    <w:rsid w:val="00E97EEA"/>
    <w:rsid w:val="00EA67FF"/>
    <w:rsid w:val="00F11CE7"/>
    <w:rsid w:val="00FA1C20"/>
    <w:rsid w:val="00FB3775"/>
    <w:rsid w:val="00FC351D"/>
    <w:rsid w:val="00FC437E"/>
    <w:rsid w:val="00FC4497"/>
    <w:rsid w:val="0BC1013B"/>
    <w:rsid w:val="0BE430C0"/>
    <w:rsid w:val="0E0804EF"/>
    <w:rsid w:val="16CD2278"/>
    <w:rsid w:val="175E7968"/>
    <w:rsid w:val="189F2389"/>
    <w:rsid w:val="1A4B0C1E"/>
    <w:rsid w:val="1C0B60EE"/>
    <w:rsid w:val="30B35628"/>
    <w:rsid w:val="34B353CE"/>
    <w:rsid w:val="36427387"/>
    <w:rsid w:val="3A1543F4"/>
    <w:rsid w:val="4B880EDC"/>
    <w:rsid w:val="4FC172FD"/>
    <w:rsid w:val="55E47F6D"/>
    <w:rsid w:val="565527FD"/>
    <w:rsid w:val="5E867787"/>
    <w:rsid w:val="61D301F8"/>
    <w:rsid w:val="692E7907"/>
    <w:rsid w:val="69A94F4C"/>
    <w:rsid w:val="6FE03674"/>
    <w:rsid w:val="72B96180"/>
    <w:rsid w:val="74D51F06"/>
    <w:rsid w:val="768F0AD3"/>
    <w:rsid w:val="769A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4">
    <w:name w:val="heading 1"/>
    <w:basedOn w:val="1"/>
    <w:next w:val="1"/>
    <w:link w:val="25"/>
    <w:qFormat/>
    <w:uiPriority w:val="0"/>
    <w:pPr>
      <w:keepNext/>
      <w:keepLines/>
      <w:spacing w:before="340" w:after="330" w:line="578" w:lineRule="atLeast"/>
      <w:outlineLvl w:val="0"/>
    </w:pPr>
    <w:rPr>
      <w:b/>
      <w:bCs/>
      <w:kern w:val="44"/>
      <w:sz w:val="44"/>
      <w:szCs w:val="44"/>
    </w:rPr>
  </w:style>
  <w:style w:type="paragraph" w:styleId="5">
    <w:name w:val="heading 2"/>
    <w:basedOn w:val="1"/>
    <w:next w:val="1"/>
    <w:link w:val="26"/>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19"/>
    <w:semiHidden/>
    <w:unhideWhenUsed/>
    <w:qFormat/>
    <w:uiPriority w:val="0"/>
    <w:pPr>
      <w:keepNext/>
      <w:keepLines/>
      <w:overflowPunct w:val="0"/>
      <w:topLinePunct/>
      <w:spacing w:before="260" w:after="260" w:line="416" w:lineRule="auto"/>
      <w:outlineLvl w:val="2"/>
    </w:pPr>
    <w:rPr>
      <w:rFonts w:ascii="Times New Roman" w:hAnsi="Times New Roman" w:eastAsia="方正仿宋_GBK"/>
      <w:b/>
      <w:bCs/>
      <w:sz w:val="32"/>
      <w:szCs w:val="32"/>
    </w:rPr>
  </w:style>
  <w:style w:type="paragraph" w:styleId="7">
    <w:name w:val="heading 5"/>
    <w:basedOn w:val="1"/>
    <w:next w:val="8"/>
    <w:link w:val="20"/>
    <w:qFormat/>
    <w:uiPriority w:val="0"/>
    <w:pPr>
      <w:keepNext/>
      <w:keepLines/>
      <w:widowControl/>
      <w:overflowPunct w:val="0"/>
      <w:topLinePunct/>
      <w:spacing w:before="280" w:after="290" w:line="376" w:lineRule="auto"/>
      <w:ind w:left="1008" w:hanging="1008"/>
      <w:outlineLvl w:val="4"/>
    </w:pPr>
    <w:rPr>
      <w:rFonts w:ascii="Times New Roman" w:hAnsi="Times New Roman" w:eastAsia="方正仿宋_GBK"/>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4"/>
    <w:unhideWhenUsed/>
    <w:qFormat/>
    <w:uiPriority w:val="99"/>
    <w:pPr>
      <w:ind w:firstLine="420" w:firstLineChars="200"/>
    </w:pPr>
  </w:style>
  <w:style w:type="paragraph" w:styleId="3">
    <w:name w:val="Body Text Indent"/>
    <w:basedOn w:val="1"/>
    <w:link w:val="23"/>
    <w:unhideWhenUsed/>
    <w:qFormat/>
    <w:uiPriority w:val="99"/>
    <w:pPr>
      <w:spacing w:after="120"/>
      <w:ind w:left="420" w:leftChars="200"/>
    </w:pPr>
  </w:style>
  <w:style w:type="paragraph" w:styleId="8">
    <w:name w:val="Normal Indent"/>
    <w:basedOn w:val="1"/>
    <w:next w:val="1"/>
    <w:qFormat/>
    <w:uiPriority w:val="0"/>
    <w:pPr>
      <w:widowControl/>
      <w:overflowPunct w:val="0"/>
      <w:topLinePunct/>
      <w:spacing w:line="240" w:lineRule="auto"/>
      <w:ind w:firstLine="420" w:firstLineChars="200"/>
    </w:pPr>
    <w:rPr>
      <w:rFonts w:ascii="Times New Roman" w:hAnsi="Times New Roman" w:eastAsia="方正仿宋_GBK"/>
      <w:sz w:val="20"/>
      <w:szCs w:val="20"/>
    </w:rPr>
  </w:style>
  <w:style w:type="paragraph" w:styleId="9">
    <w:name w:val="Date"/>
    <w:basedOn w:val="1"/>
    <w:next w:val="1"/>
    <w:link w:val="29"/>
    <w:semiHidden/>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overflowPunct w:val="0"/>
      <w:topLinePunct/>
      <w:snapToGrid w:val="0"/>
      <w:spacing w:line="240" w:lineRule="auto"/>
      <w:jc w:val="left"/>
    </w:pPr>
    <w:rPr>
      <w:rFonts w:ascii="Times New Roman" w:hAnsi="Times New Roman" w:eastAsia="方正仿宋_GBK"/>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overflowPunct w:val="0"/>
      <w:topLinePunct/>
      <w:snapToGrid w:val="0"/>
      <w:spacing w:line="240" w:lineRule="auto"/>
      <w:jc w:val="center"/>
    </w:pPr>
    <w:rPr>
      <w:rFonts w:ascii="Times New Roman" w:hAnsi="Times New Roman" w:eastAsia="方正仿宋_GBK"/>
      <w:sz w:val="18"/>
      <w:szCs w:val="18"/>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paragraph" w:styleId="13">
    <w:name w:val="Title"/>
    <w:basedOn w:val="1"/>
    <w:next w:val="1"/>
    <w:link w:val="27"/>
    <w:qFormat/>
    <w:uiPriority w:val="99"/>
    <w:pPr>
      <w:overflowPunct w:val="0"/>
      <w:topLinePunct/>
      <w:spacing w:before="240" w:after="60" w:line="240" w:lineRule="auto"/>
      <w:jc w:val="center"/>
      <w:outlineLvl w:val="0"/>
    </w:pPr>
    <w:rPr>
      <w:rFonts w:asciiTheme="majorHAnsi" w:hAnsiTheme="majorHAnsi" w:eastAsiaTheme="majorEastAsia" w:cstheme="majorBidi"/>
      <w:b/>
      <w:bCs/>
      <w:sz w:val="32"/>
      <w:szCs w:val="32"/>
    </w:rPr>
  </w:style>
  <w:style w:type="character" w:styleId="16">
    <w:name w:val="Strong"/>
    <w:basedOn w:val="15"/>
    <w:qFormat/>
    <w:uiPriority w:val="0"/>
    <w:rPr>
      <w:b/>
    </w:rPr>
  </w:style>
  <w:style w:type="character" w:styleId="17">
    <w:name w:val="FollowedHyperlink"/>
    <w:basedOn w:val="15"/>
    <w:semiHidden/>
    <w:unhideWhenUsed/>
    <w:qFormat/>
    <w:uiPriority w:val="99"/>
    <w:rPr>
      <w:color w:val="333333"/>
      <w:u w:val="none"/>
    </w:rPr>
  </w:style>
  <w:style w:type="character" w:styleId="18">
    <w:name w:val="Hyperlink"/>
    <w:basedOn w:val="15"/>
    <w:semiHidden/>
    <w:unhideWhenUsed/>
    <w:qFormat/>
    <w:uiPriority w:val="99"/>
    <w:rPr>
      <w:color w:val="0563C1" w:themeColor="hyperlink"/>
      <w:u w:val="single"/>
      <w14:textFill>
        <w14:solidFill>
          <w14:schemeClr w14:val="hlink"/>
        </w14:solidFill>
      </w14:textFill>
    </w:rPr>
  </w:style>
  <w:style w:type="character" w:customStyle="1" w:styleId="19">
    <w:name w:val="标题 3 字符"/>
    <w:basedOn w:val="15"/>
    <w:link w:val="6"/>
    <w:semiHidden/>
    <w:qFormat/>
    <w:uiPriority w:val="0"/>
    <w:rPr>
      <w:rFonts w:eastAsia="方正仿宋_GBK"/>
      <w:b/>
      <w:bCs/>
      <w:kern w:val="2"/>
      <w:sz w:val="32"/>
      <w:szCs w:val="32"/>
    </w:rPr>
  </w:style>
  <w:style w:type="character" w:customStyle="1" w:styleId="20">
    <w:name w:val="标题 5 字符"/>
    <w:basedOn w:val="15"/>
    <w:link w:val="7"/>
    <w:qFormat/>
    <w:uiPriority w:val="0"/>
    <w:rPr>
      <w:rFonts w:eastAsia="方正仿宋_GBK"/>
      <w:b/>
      <w:bCs/>
      <w:kern w:val="2"/>
      <w:sz w:val="28"/>
      <w:szCs w:val="28"/>
    </w:rPr>
  </w:style>
  <w:style w:type="character" w:customStyle="1" w:styleId="21">
    <w:name w:val="页眉 字符"/>
    <w:basedOn w:val="15"/>
    <w:link w:val="11"/>
    <w:qFormat/>
    <w:uiPriority w:val="99"/>
    <w:rPr>
      <w:rFonts w:eastAsia="方正仿宋_GBK"/>
      <w:kern w:val="2"/>
      <w:sz w:val="18"/>
      <w:szCs w:val="18"/>
    </w:rPr>
  </w:style>
  <w:style w:type="character" w:customStyle="1" w:styleId="22">
    <w:name w:val="页脚 字符"/>
    <w:basedOn w:val="15"/>
    <w:link w:val="10"/>
    <w:qFormat/>
    <w:uiPriority w:val="99"/>
    <w:rPr>
      <w:rFonts w:eastAsia="方正仿宋_GBK"/>
      <w:kern w:val="2"/>
      <w:sz w:val="18"/>
      <w:szCs w:val="18"/>
    </w:rPr>
  </w:style>
  <w:style w:type="character" w:customStyle="1" w:styleId="23">
    <w:name w:val="正文文本缩进 字符"/>
    <w:basedOn w:val="15"/>
    <w:link w:val="3"/>
    <w:semiHidden/>
    <w:qFormat/>
    <w:uiPriority w:val="99"/>
    <w:rPr>
      <w:rFonts w:ascii="Calibri" w:hAnsi="Calibri"/>
      <w:kern w:val="2"/>
      <w:sz w:val="21"/>
      <w:szCs w:val="24"/>
    </w:rPr>
  </w:style>
  <w:style w:type="character" w:customStyle="1" w:styleId="24">
    <w:name w:val="正文文本首行缩进 2 字符"/>
    <w:basedOn w:val="23"/>
    <w:link w:val="2"/>
    <w:qFormat/>
    <w:uiPriority w:val="99"/>
    <w:rPr>
      <w:rFonts w:ascii="Calibri" w:hAnsi="Calibri"/>
      <w:kern w:val="2"/>
      <w:sz w:val="21"/>
      <w:szCs w:val="24"/>
    </w:rPr>
  </w:style>
  <w:style w:type="character" w:customStyle="1" w:styleId="25">
    <w:name w:val="标题 1 字符"/>
    <w:basedOn w:val="15"/>
    <w:link w:val="4"/>
    <w:qFormat/>
    <w:uiPriority w:val="0"/>
    <w:rPr>
      <w:rFonts w:ascii="Calibri" w:hAnsi="Calibri"/>
      <w:b/>
      <w:bCs/>
      <w:kern w:val="44"/>
      <w:sz w:val="44"/>
      <w:szCs w:val="44"/>
    </w:rPr>
  </w:style>
  <w:style w:type="character" w:customStyle="1" w:styleId="26">
    <w:name w:val="标题 2 字符"/>
    <w:basedOn w:val="15"/>
    <w:link w:val="5"/>
    <w:qFormat/>
    <w:uiPriority w:val="0"/>
    <w:rPr>
      <w:rFonts w:asciiTheme="majorHAnsi" w:hAnsiTheme="majorHAnsi" w:eastAsiaTheme="majorEastAsia" w:cstheme="majorBidi"/>
      <w:b/>
      <w:bCs/>
      <w:kern w:val="2"/>
      <w:sz w:val="32"/>
      <w:szCs w:val="32"/>
    </w:rPr>
  </w:style>
  <w:style w:type="character" w:customStyle="1" w:styleId="27">
    <w:name w:val="标题 字符"/>
    <w:basedOn w:val="15"/>
    <w:link w:val="13"/>
    <w:qFormat/>
    <w:uiPriority w:val="99"/>
    <w:rPr>
      <w:rFonts w:asciiTheme="majorHAnsi" w:hAnsiTheme="majorHAnsi" w:eastAsiaTheme="majorEastAsia" w:cstheme="majorBidi"/>
      <w:b/>
      <w:bCs/>
      <w:kern w:val="2"/>
      <w:sz w:val="32"/>
      <w:szCs w:val="32"/>
    </w:rPr>
  </w:style>
  <w:style w:type="character" w:customStyle="1" w:styleId="28">
    <w:name w:val="dhgao"/>
    <w:basedOn w:val="15"/>
    <w:qFormat/>
    <w:uiPriority w:val="0"/>
  </w:style>
  <w:style w:type="character" w:customStyle="1" w:styleId="29">
    <w:name w:val="日期 字符"/>
    <w:basedOn w:val="15"/>
    <w:link w:val="9"/>
    <w:semiHidden/>
    <w:qFormat/>
    <w:uiPriority w:val="99"/>
    <w:rPr>
      <w:rFonts w:ascii="Calibri" w:hAnsi="Calibri"/>
      <w:kern w:val="2"/>
      <w:sz w:val="21"/>
      <w:szCs w:val="24"/>
    </w:rPr>
  </w:style>
  <w:style w:type="paragraph" w:customStyle="1" w:styleId="30">
    <w:name w:val="_Style 10"/>
    <w:basedOn w:val="1"/>
    <w:next w:val="31"/>
    <w:qFormat/>
    <w:uiPriority w:val="34"/>
    <w:pPr>
      <w:autoSpaceDE w:val="0"/>
      <w:autoSpaceDN w:val="0"/>
      <w:adjustRightInd w:val="0"/>
      <w:snapToGrid w:val="0"/>
      <w:spacing w:line="588" w:lineRule="atLeast"/>
      <w:ind w:firstLine="420" w:firstLineChars="200"/>
    </w:pPr>
    <w:rPr>
      <w:rFonts w:ascii="宋体" w:hAnsi="宋体" w:eastAsia="仿宋_GB2312"/>
      <w:spacing w:val="-2"/>
      <w:sz w:val="32"/>
    </w:rPr>
  </w:style>
  <w:style w:type="paragraph" w:styleId="31">
    <w:name w:val="List Paragraph"/>
    <w:basedOn w:val="1"/>
    <w:qFormat/>
    <w:uiPriority w:val="34"/>
    <w:pPr>
      <w:autoSpaceDE w:val="0"/>
      <w:autoSpaceDN w:val="0"/>
      <w:adjustRightInd w:val="0"/>
      <w:snapToGrid w:val="0"/>
      <w:spacing w:line="588" w:lineRule="atLeast"/>
      <w:ind w:firstLine="420" w:firstLineChars="200"/>
    </w:pPr>
    <w:rPr>
      <w:rFonts w:ascii="宋体" w:hAnsi="宋体" w:eastAsia="仿宋_GB2312"/>
      <w:spacing w:val="-2"/>
      <w:sz w:val="32"/>
    </w:rPr>
  </w:style>
  <w:style w:type="paragraph" w:customStyle="1" w:styleId="32">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customStyle="1" w:styleId="33">
    <w:name w:val="hao1"/>
    <w:basedOn w:val="15"/>
    <w:qFormat/>
    <w:uiPriority w:val="0"/>
    <w:rPr>
      <w:b/>
      <w:bCs/>
    </w:rPr>
  </w:style>
  <w:style w:type="character" w:customStyle="1" w:styleId="34">
    <w:name w:val="wz"/>
    <w:basedOn w:val="15"/>
    <w:qFormat/>
    <w:uiPriority w:val="0"/>
    <w:rPr>
      <w:vanish/>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4196</Words>
  <Characters>23918</Characters>
  <Lines>199</Lines>
  <Paragraphs>56</Paragraphs>
  <TotalTime>1</TotalTime>
  <ScaleCrop>false</ScaleCrop>
  <LinksUpToDate>false</LinksUpToDate>
  <CharactersWithSpaces>28058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2022-03-02T10:37:00Z</dcterms:created>
  <dc:creator>(pg) Ruihua Li</dc:creator>
  <cp:lastModifiedBy>中华人民共和国交通运输部</cp:lastModifiedBy>
  <dcterms:modified xsi:type="dcterms:W3CDTF">2022-03-25T09:35:51Z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EB3E2DCE8E1D40A3A58FFC1F10353530</vt:lpwstr>
  </property>
</Properties>
</file>