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E26BE">
      <w:pPr>
        <w:spacing w:line="360" w:lineRule="auto"/>
        <w:ind w:firstLine="0" w:firstLineChars="0"/>
        <w:jc w:val="left"/>
        <w:rPr>
          <w:rFonts w:hint="eastAsia" w:ascii="黑体" w:hAnsi="黑体" w:eastAsia="黑体" w:cs="黑体"/>
          <w:b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sz w:val="32"/>
          <w:szCs w:val="32"/>
          <w:lang w:eastAsia="zh-CN"/>
        </w:rPr>
        <w:t>附件</w:t>
      </w:r>
    </w:p>
    <w:p w14:paraId="7051C1F6">
      <w:pPr>
        <w:jc w:val="both"/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</w:pPr>
    </w:p>
    <w:p w14:paraId="6EF045D3">
      <w:pPr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  <w:lang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年上海市伏休期间海蜇</w:t>
      </w: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  <w:lang w:eastAsia="zh-CN"/>
        </w:rPr>
        <w:t>、桁杆拖虾</w:t>
      </w: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专项限额</w:t>
      </w:r>
    </w:p>
    <w:p w14:paraId="2463018D">
      <w:pPr>
        <w:jc w:val="center"/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36"/>
          <w:szCs w:val="36"/>
        </w:rPr>
        <w:t>捕捞实施方案</w:t>
      </w:r>
    </w:p>
    <w:p w14:paraId="06182D5C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4917543E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为推进我市海洋渔业资源总量管理，着力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加强海洋渔业资源和生态环境保护, 促进海洋渔业资源科学养护和合理利用,根据《农业部关于进一步加强国内渔船管控 实施海洋渔业资源总量管理的通知》（农渔发</w:t>
      </w:r>
      <w:r>
        <w:rPr>
          <w:rFonts w:hint="eastAsia" w:ascii="仿宋_GB2312" w:hAnsi="宋体" w:eastAsia="仿宋_GB2312"/>
          <w:sz w:val="32"/>
          <w:szCs w:val="32"/>
        </w:rPr>
        <w:t>〔2017〕</w:t>
      </w:r>
      <w:r>
        <w:rPr>
          <w:rFonts w:hint="eastAsia" w:ascii="仿宋_GB2312" w:hAnsi="仿宋_GB2312" w:eastAsia="仿宋_GB2312" w:cs="仿宋_GB2312"/>
          <w:sz w:val="32"/>
          <w:szCs w:val="32"/>
        </w:rPr>
        <w:t>2号）、</w:t>
      </w:r>
      <w:r>
        <w:rPr>
          <w:rFonts w:hint="eastAsia" w:ascii="仿宋_GB2312" w:hAnsi="宋体" w:eastAsia="仿宋_GB2312"/>
          <w:sz w:val="32"/>
          <w:szCs w:val="32"/>
        </w:rPr>
        <w:t>《农业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农村部</w:t>
      </w:r>
      <w:r>
        <w:rPr>
          <w:rFonts w:hint="eastAsia" w:ascii="仿宋_GB2312" w:hAnsi="宋体" w:eastAsia="仿宋_GB2312"/>
          <w:sz w:val="32"/>
          <w:szCs w:val="32"/>
        </w:rPr>
        <w:t>关于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宋体" w:eastAsia="仿宋_GB2312"/>
          <w:sz w:val="32"/>
          <w:szCs w:val="32"/>
        </w:rPr>
        <w:t>伏季休渔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期间专项捕捞许可和捕捞辅助船配套服务安排的</w:t>
      </w:r>
      <w:r>
        <w:rPr>
          <w:rFonts w:hint="eastAsia" w:ascii="仿宋_GB2312" w:hAnsi="宋体" w:eastAsia="仿宋_GB2312"/>
          <w:sz w:val="32"/>
          <w:szCs w:val="32"/>
        </w:rPr>
        <w:t>通告》（农业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农村部</w:t>
      </w:r>
      <w:r>
        <w:rPr>
          <w:rFonts w:hint="eastAsia" w:ascii="仿宋_GB2312" w:hAnsi="宋体" w:eastAsia="仿宋_GB2312"/>
          <w:sz w:val="32"/>
          <w:szCs w:val="32"/>
        </w:rPr>
        <w:t>通告〔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有关要求，现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制定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/>
          <w:sz w:val="32"/>
          <w:szCs w:val="32"/>
        </w:rPr>
        <w:t>年我市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海蜇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、桁杆拖虾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专项限额捕捞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方案如下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:</w:t>
      </w:r>
    </w:p>
    <w:p w14:paraId="363034D0">
      <w:pPr>
        <w:pStyle w:val="9"/>
        <w:numPr>
          <w:ilvl w:val="-1"/>
          <w:numId w:val="0"/>
        </w:numPr>
        <w:spacing w:line="360" w:lineRule="auto"/>
        <w:ind w:left="0"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一、专项捕捞安排</w:t>
      </w:r>
    </w:p>
    <w:p w14:paraId="705F72D7">
      <w:pPr>
        <w:pStyle w:val="9"/>
        <w:spacing w:line="360" w:lineRule="auto"/>
        <w:ind w:left="600" w:firstLine="0" w:firstLineChars="0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（一）捕捞水域、品种、渔船</w:t>
      </w:r>
    </w:p>
    <w:p w14:paraId="6992AE6D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捕捞水域: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海蜇专项捕捞具体为</w:t>
      </w:r>
      <w:r>
        <w:rPr>
          <w:rFonts w:hint="eastAsia" w:ascii="仿宋_GB2312" w:hAnsi="仿宋_GB2312" w:eastAsia="仿宋_GB2312" w:cs="仿宋_GB2312"/>
          <w:sz w:val="32"/>
          <w:szCs w:val="32"/>
        </w:rPr>
        <w:t>我市管辖的杭州湾水域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桁杆拖虾专项捕捞具体为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26°30′N以北的</w:t>
      </w:r>
      <w:r>
        <w:rPr>
          <w:rFonts w:hint="eastAsia" w:ascii="仿宋_GB2312" w:hAnsi="宋体" w:eastAsia="仿宋_GB2312" w:cs="Times New Roman"/>
          <w:sz w:val="32"/>
          <w:szCs w:val="32"/>
        </w:rPr>
        <w:t>C2类渔区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</w:p>
    <w:p w14:paraId="29CB56A5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捕捞品种:海蜇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</w:rPr>
        <w:t>虾蟹类、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底层</w:t>
      </w:r>
      <w:r>
        <w:rPr>
          <w:rFonts w:hint="eastAsia" w:ascii="仿宋_GB2312" w:hAnsi="仿宋_GB2312" w:eastAsia="仿宋_GB2312" w:cs="仿宋_GB2312"/>
          <w:sz w:val="32"/>
          <w:szCs w:val="32"/>
        </w:rPr>
        <w:t>鱼类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4E33C89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专项捕捞船：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持有</w:t>
      </w:r>
      <w:r>
        <w:rPr>
          <w:rFonts w:hint="eastAsia" w:ascii="仿宋_GB2312" w:hAnsi="仿宋_GB2312" w:eastAsia="仿宋_GB2312" w:cs="仿宋_GB2312"/>
          <w:sz w:val="32"/>
          <w:szCs w:val="32"/>
        </w:rPr>
        <w:t>我市《专项（特许）渔业捕捞许可证》（以下简称《专项证》）的张网类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（海蜇专项）、拖网类（桁杆拖虾专项）</w:t>
      </w:r>
      <w:r>
        <w:rPr>
          <w:rFonts w:hint="eastAsia" w:ascii="仿宋_GB2312" w:hAnsi="仿宋_GB2312" w:eastAsia="仿宋_GB2312" w:cs="仿宋_GB2312"/>
          <w:sz w:val="32"/>
          <w:szCs w:val="32"/>
        </w:rPr>
        <w:t>海洋渔船。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海蜇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专项捕捞渔船的作业位置按照网格化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（四至位置）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要求管理。</w:t>
      </w:r>
    </w:p>
    <w:p w14:paraId="1EA0E880">
      <w:pPr>
        <w:pStyle w:val="9"/>
        <w:spacing w:line="360" w:lineRule="auto"/>
        <w:ind w:left="600" w:firstLine="0" w:firstLineChars="0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（二）限额捕捞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配额总量</w:t>
      </w:r>
    </w:p>
    <w:p w14:paraId="6C9993CA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宋体" w:eastAsia="仿宋_GB2312"/>
          <w:sz w:val="32"/>
          <w:szCs w:val="32"/>
        </w:rPr>
        <w:t>《农业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农村部</w:t>
      </w:r>
      <w:r>
        <w:rPr>
          <w:rFonts w:hint="eastAsia" w:ascii="仿宋_GB2312" w:hAnsi="宋体" w:eastAsia="仿宋_GB2312"/>
          <w:sz w:val="32"/>
          <w:szCs w:val="32"/>
        </w:rPr>
        <w:t>关于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宋体" w:eastAsia="仿宋_GB2312"/>
          <w:sz w:val="32"/>
          <w:szCs w:val="32"/>
        </w:rPr>
        <w:t>伏季休渔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期间专项捕捞许可和捕捞辅助船配套服务安排的</w:t>
      </w:r>
      <w:r>
        <w:rPr>
          <w:rFonts w:hint="eastAsia" w:ascii="仿宋_GB2312" w:hAnsi="宋体" w:eastAsia="仿宋_GB2312"/>
          <w:sz w:val="32"/>
          <w:szCs w:val="32"/>
        </w:rPr>
        <w:t>通告》（农业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农村部</w:t>
      </w:r>
      <w:r>
        <w:rPr>
          <w:rFonts w:hint="eastAsia" w:ascii="仿宋_GB2312" w:hAnsi="宋体" w:eastAsia="仿宋_GB2312"/>
          <w:sz w:val="32"/>
          <w:szCs w:val="32"/>
        </w:rPr>
        <w:t>通告〔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2026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本年度杭州湾</w:t>
      </w:r>
      <w:r>
        <w:rPr>
          <w:rFonts w:hint="eastAsia" w:ascii="仿宋_GB2312" w:hAnsi="仿宋_GB2312" w:eastAsia="仿宋_GB2312" w:cs="仿宋_GB2312"/>
          <w:sz w:val="32"/>
          <w:szCs w:val="32"/>
        </w:rPr>
        <w:t>海域海蜇最大可捕捞量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（捕捞限额总量）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1500</w:t>
      </w:r>
      <w:r>
        <w:rPr>
          <w:rFonts w:hint="eastAsia" w:ascii="仿宋_GB2312" w:hAnsi="仿宋_GB2312" w:eastAsia="仿宋_GB2312" w:cs="仿宋_GB2312"/>
          <w:sz w:val="32"/>
          <w:szCs w:val="32"/>
        </w:rPr>
        <w:t>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26°30′N以北的</w:t>
      </w:r>
      <w:r>
        <w:rPr>
          <w:rFonts w:hint="eastAsia" w:ascii="仿宋_GB2312" w:hAnsi="宋体" w:eastAsia="仿宋_GB2312" w:cs="Times New Roman"/>
          <w:sz w:val="32"/>
          <w:szCs w:val="32"/>
        </w:rPr>
        <w:t>C2类渔区</w:t>
      </w:r>
      <w:r>
        <w:rPr>
          <w:rFonts w:hint="eastAsia" w:ascii="仿宋_GB2312" w:hAnsi="宋体" w:eastAsia="仿宋_GB2312" w:cs="Times New Roman"/>
          <w:sz w:val="32"/>
          <w:szCs w:val="32"/>
          <w:lang w:eastAsia="zh"/>
          <w:woUserID w:val="1"/>
        </w:rPr>
        <w:t>我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桁杆拖虾</w:t>
      </w:r>
      <w:r>
        <w:rPr>
          <w:rFonts w:hint="eastAsia" w:ascii="仿宋_GB2312" w:hAnsi="仿宋_GB2312" w:eastAsia="仿宋_GB2312" w:cs="仿宋_GB2312"/>
          <w:sz w:val="32"/>
          <w:szCs w:val="32"/>
        </w:rPr>
        <w:t>最大可捕捞量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（捕捞限额总量）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1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7000吨。</w:t>
      </w:r>
    </w:p>
    <w:p w14:paraId="7C550408">
      <w:pPr>
        <w:pStyle w:val="9"/>
        <w:spacing w:line="360" w:lineRule="auto"/>
        <w:ind w:left="600" w:firstLine="0" w:firstLineChars="0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（三）捕捞配额的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执行</w:t>
      </w:r>
    </w:p>
    <w:p w14:paraId="63A194F7">
      <w:pPr>
        <w:spacing w:line="360" w:lineRule="auto"/>
        <w:ind w:firstLine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按照公正、公平、公开原则，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海蜇、桁杆拖虾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专项捕捞渔船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捕捞产量配额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海蜇专项捕捞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市最大船数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19艘，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捕捞限额总量不超过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1500吨。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桁杆拖虾专项捕捞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1"/>
        </w:rPr>
        <w:t>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市最大船数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155艘，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捕捞限额总量不超过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7000吨。</w:t>
      </w:r>
    </w:p>
    <w:p w14:paraId="4102C95E">
      <w:pPr>
        <w:spacing w:line="360" w:lineRule="auto"/>
        <w:ind w:firstLine="643" w:firstLineChars="200"/>
        <w:rPr>
          <w:rFonts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</w:rPr>
        <w:t>.配额的运行管理</w:t>
      </w:r>
    </w:p>
    <w:p w14:paraId="3E1E19A8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（1）定点上岸制度。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海蜇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专项捕捞渔船指定卸货点为芦潮港、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大治河、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中港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处，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桁杆拖虾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专项捕捞渔船指定卸货点为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横沙渔港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1处。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所有专项捕捞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渔船须在卸货点进行卸货交易（每艘渔船只能选择一处卸货点），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上海海洋大学记录渔获物上岸量（即配额的使用情况）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、渔获物幼鱼比例、兼捕作业情况。外省市渔船（包括辅助船）进入本市渔港应严格按照进出港报告制度提前报告。</w:t>
      </w:r>
    </w:p>
    <w:p w14:paraId="18D5A134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（2）渔捞日志制度。每艘专项捕捞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须通过“渔港通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APP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”报送产量情况并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按规定填写渔捞日志，由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属地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对渔船的“渔港通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APP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”、渔捞日志、航行轨迹等进行定期核对检查。</w:t>
      </w:r>
    </w:p>
    <w:p w14:paraId="5D3C2EE7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（3）配额完成预警。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两个专项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捕捞配额达到各自总体捕捞限额总量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90%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时，由执法总队联合各区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、科研单位对渔船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出具预警通知单（详见附件）。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专项捕捞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整体配额达到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捕捞限额总量时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，由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执法总队联合各区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向所有专项捕捞渔船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发出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停止专项捕捞生产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通知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由渔政船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对捕捞水域进行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巡航检查，清空捕捞水域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，确保所有专项捕捞船回到属地港口码头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。</w:t>
      </w:r>
    </w:p>
    <w:p w14:paraId="334507AF">
      <w:pPr>
        <w:widowControl/>
        <w:shd w:val="clear" w:color="auto" w:fill="FFFFFF"/>
        <w:spacing w:line="360" w:lineRule="auto"/>
        <w:ind w:firstLine="643" w:firstLineChars="200"/>
        <w:jc w:val="both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</w:rPr>
        <w:t>.配额的监管保障</w:t>
      </w:r>
    </w:p>
    <w:p w14:paraId="74FBC928">
      <w:pPr>
        <w:widowControl/>
        <w:shd w:val="clear" w:color="auto" w:fill="FFFFFF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（1）进出渔港（停泊点）报告制度。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市、区两级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要依托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市长江禁捕管理系统及时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掌握各渔船生产动态，结合定点上岸、渔捞日志制度，共同实施对渔船配额的动态监管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。</w:t>
      </w:r>
    </w:p>
    <w:p w14:paraId="53307AF6">
      <w:pPr>
        <w:widowControl/>
        <w:shd w:val="clear" w:color="auto" w:fill="FFFFFF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（2）安全生产监管制度。专项捕捞期间，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:woUserID w:val="2"/>
        </w:rPr>
        <w:t>市、区两级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:woUserID w:val="2"/>
        </w:rPr>
        <w:t>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组织开展安全隐患大排查，重点排查渔港码头基础设施、护岸堤坡、停靠泊位、消防通道、供油供电供水实施等完好情况。逐船检查渔船机舱油路管线、液化气使用存放等安全状况，重点整治设备过期失效、损坏缺失等突出隐患。</w:t>
      </w:r>
    </w:p>
    <w:p w14:paraId="1555E736">
      <w:pPr>
        <w:widowControl/>
        <w:shd w:val="clear" w:color="auto" w:fill="FFFFFF"/>
        <w:spacing w:line="360" w:lineRule="auto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）船载信息系统全天候监控船位。专项捕捞期间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，专项捕捞渔船的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船载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信息系统必须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处于开机状态，并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及时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报告动态。渔船确因设备故障或中途回港的，需事先报告属地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备案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。</w:t>
      </w:r>
    </w:p>
    <w:p w14:paraId="1EDFE059">
      <w:pPr>
        <w:widowControl/>
        <w:shd w:val="clear" w:color="auto" w:fill="FFFFFF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）一线执法巡航监管。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市、区两级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要安排渔政船伴航执法并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组织专项执法行动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。定期对渔船和捕捞辅助船开展登临检查，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查处违法捕捞、瞒报产量、超配额捕捞、未按规定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报送“渔港通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APP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”和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填写《渔捞日志》、违反定点上岸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4"/>
        </w:rPr>
        <w:t>规定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、实际未出海捕捞等行为，并取消违规渔船次年申请资格。同时，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实行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限额捕捞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科学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观察员制度，由上海海洋大学派驻观察员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在专项捕捞期内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随部分渔船出海，进行生产记录、采集生物学数据、观察渔民生产情况。</w:t>
      </w:r>
    </w:p>
    <w:p w14:paraId="17490E00">
      <w:pPr>
        <w:spacing w:line="360" w:lineRule="auto"/>
        <w:ind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/>
          <w:sz w:val="32"/>
          <w:szCs w:val="32"/>
        </w:rPr>
        <w:t>时间安排</w:t>
      </w:r>
    </w:p>
    <w:p w14:paraId="385A104E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海蜇、桁杆拖虾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专项捕捞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总体持续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7月1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日12时至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日12时</w:t>
      </w:r>
      <w:r>
        <w:rPr>
          <w:rFonts w:hint="eastAsia" w:ascii="仿宋_GB2312" w:hAnsi="仿宋_GB2312" w:eastAsia="仿宋_GB2312" w:cs="仿宋_GB2312"/>
          <w:sz w:val="32"/>
          <w:szCs w:val="32"/>
        </w:rPr>
        <w:t>。具体分三个阶段：</w:t>
      </w:r>
    </w:p>
    <w:p w14:paraId="7AED82B4">
      <w:pPr>
        <w:spacing w:line="360" w:lineRule="auto"/>
        <w:ind w:firstLine="643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1.捕捞准备阶段（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年6月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"/>
          <w:woUserID w:val="3"/>
        </w:rPr>
        <w:t>—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7月上旬）。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协同沿海各级渔业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"/>
          <w:woUserID w:val="1"/>
        </w:rPr>
        <w:t>渔政主管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部门制定监管方案，明确责任分工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；组织申报专项许可证，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制作发放《渔捞日志》，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上海海洋大学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制定渔获物定点上岸监管方案和排班表，建立渔获物登记核查制度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，开展渔港渔船安全隐患排查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。</w:t>
      </w:r>
    </w:p>
    <w:p w14:paraId="186E57F0">
      <w:pPr>
        <w:spacing w:line="360" w:lineRule="auto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2.具体实施阶段（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年7月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上旬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"/>
          <w:woUserID w:val="3"/>
        </w:rPr>
        <w:t>—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9月中旬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）。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kern w:val="0"/>
          <w:sz w:val="32"/>
          <w:szCs w:val="32"/>
          <w:lang w:eastAsia="zh-CN"/>
        </w:rPr>
        <w:t>各级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kern w:val="0"/>
          <w:sz w:val="32"/>
          <w:szCs w:val="32"/>
          <w:lang w:eastAsia="zh-CN"/>
        </w:rPr>
        <w:t>按照监管方案组织开展一线执法巡查，依托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kern w:val="0"/>
          <w:sz w:val="32"/>
          <w:szCs w:val="32"/>
          <w:lang w:eastAsia="zh"/>
          <w:woUserID w:val="1"/>
        </w:rPr>
        <w:t>我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kern w:val="0"/>
          <w:sz w:val="32"/>
          <w:szCs w:val="32"/>
          <w:lang w:eastAsia="zh-CN"/>
        </w:rPr>
        <w:t>市长江禁捕管理系统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，重点对专项捕捞渔船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进出港报告、渔获物定点卸货及产量统计、渔船标识管理、水上一线执法巡查等方面加强监管，实时管控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专项捕捞渔船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。</w:t>
      </w:r>
    </w:p>
    <w:p w14:paraId="36A12EB9"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3.全面总结阶段（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下旬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）。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年伏休管理工作，总结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两项专项</w:t>
      </w:r>
      <w:r>
        <w:rPr>
          <w:rFonts w:hint="eastAsia" w:ascii="仿宋_GB2312" w:hAnsi="仿宋_GB2312" w:eastAsia="仿宋_GB2312" w:cs="仿宋_GB2312"/>
          <w:sz w:val="32"/>
          <w:szCs w:val="32"/>
        </w:rPr>
        <w:t>限额捕捞工作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成效、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重点对水陆监管中存在问题进行梳理，形成书面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工作总结，提出完善措施和建议。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同时由</w:t>
      </w:r>
      <w:r>
        <w:rPr>
          <w:rFonts w:hint="eastAsia" w:ascii="仿宋_GB2312" w:hAnsi="仿宋_GB2312" w:eastAsia="仿宋_GB2312" w:cs="仿宋_GB2312"/>
          <w:sz w:val="32"/>
          <w:szCs w:val="32"/>
        </w:rPr>
        <w:t>上海海洋大学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对两项专项捕捞监管和资源状况进行评估。</w:t>
      </w:r>
    </w:p>
    <w:p w14:paraId="38AC969E">
      <w:pPr>
        <w:spacing w:line="360" w:lineRule="auto"/>
        <w:ind w:firstLine="643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三、职责分工</w:t>
      </w:r>
    </w:p>
    <w:p w14:paraId="2CA9754D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（一）市农业农村委负责统筹、协调、指导、推进专项限额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捕捞和安全生产监管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工作，明确海蜇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、桁杆拖虾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限额捕捞总量、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印发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工作方案和通知，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开展专项捕捞工作，确保专项捕捞顺利完成；</w:t>
      </w:r>
    </w:p>
    <w:p w14:paraId="3AC6FE58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）市农业农村委执法总队牵头制定海蜇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、桁杆拖虾专项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限额捕捞执法监管工作方案，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协调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属地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和行政服务中心开展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《专项证》申报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和渔业安全生产大排查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组织一线执法行动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、加强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渔捞日志监管、配额完成预警、渔船进出渔港（停泊点）报告、船载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信息系统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监控等工作；</w:t>
      </w:r>
    </w:p>
    <w:p w14:paraId="35DDC0FB"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）沿海各区农业农村委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4"/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1"/>
        </w:rPr>
        <w:t>渔业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执法机构,负责制定属地管理工作方案，组织《专项证》申报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，确定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专项捕捞渔船船名册及其作业位置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，加强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渔船属地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"/>
          <w:woUserID w:val="2"/>
        </w:rPr>
        <w:t>安全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监管、定点港口码头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、水陆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一线执法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管理；</w:t>
      </w:r>
    </w:p>
    <w:p w14:paraId="1ED0600F">
      <w:pPr>
        <w:widowControl/>
        <w:shd w:val="clear" w:color="auto" w:fill="FFFFFF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（四）上海海洋大学负责限额捕捞渔船产量统计记录工作，统计渔获物品种、数量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；实行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随船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科学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观察员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制度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生产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、兼产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记录、采集生物学数据、观察渔民生产情况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等工作，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捕捞结束后汇总形成限额捕捞评估报告；</w:t>
      </w:r>
    </w:p>
    <w:p w14:paraId="457D0396">
      <w:pPr>
        <w:widowControl/>
        <w:shd w:val="clear" w:color="auto" w:fill="FFFFFF"/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上海市水生野生动植物保护研究中心、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上海市水产研究所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、东海水产研究所分别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负责杭州湾水域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、东海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C2类渔区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渔业资源调查和动态监测、岸上社会调查，提供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相关水域渔业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资源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监测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</w:rPr>
        <w:t>数据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</w:p>
    <w:p w14:paraId="704B6F5E">
      <w:pPr>
        <w:spacing w:line="24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1A53004">
      <w:pPr>
        <w:spacing w:line="360" w:lineRule="auto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"/>
          <w:woUserID w:val="3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"/>
          <w:woUserID w:val="3"/>
        </w:rPr>
        <w:t>1-1</w:t>
      </w:r>
    </w:p>
    <w:p w14:paraId="44B9A27B">
      <w:pPr>
        <w:spacing w:line="360" w:lineRule="auto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0646F2">
      <w:pPr>
        <w:spacing w:line="360" w:lineRule="auto"/>
        <w:ind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4D6CDAC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海蜇/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桁杆拖虾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专项限额捕捞配额预警通知单</w:t>
      </w:r>
    </w:p>
    <w:p w14:paraId="5F26AFF4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</w:p>
    <w:p w14:paraId="2EE69919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（船名号）：</w:t>
      </w:r>
    </w:p>
    <w:p w14:paraId="4BFAE211">
      <w:pPr>
        <w:ind w:left="0" w:leftChars="0" w:firstLine="840" w:firstLineChars="3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海蜇/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桁杆拖虾）</w:t>
      </w:r>
      <w:r>
        <w:rPr>
          <w:rFonts w:hint="eastAsia" w:ascii="仿宋_GB2312" w:hAnsi="仿宋_GB2312" w:eastAsia="仿宋_GB2312" w:cs="仿宋_GB2312"/>
          <w:sz w:val="28"/>
          <w:szCs w:val="28"/>
        </w:rPr>
        <w:t>专项捕捞的捕捞配额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总量</w:t>
      </w:r>
      <w:r>
        <w:rPr>
          <w:rFonts w:hint="eastAsia" w:ascii="仿宋_GB2312" w:hAnsi="仿宋_GB2312" w:eastAsia="仿宋_GB2312" w:cs="仿宋_GB2312"/>
          <w:sz w:val="28"/>
          <w:szCs w:val="28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吨（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千克/KG）。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目前，本市所有专项捕捞渔船捕捞总量为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吨，</w:t>
      </w:r>
      <w:r>
        <w:rPr>
          <w:rFonts w:hint="eastAsia" w:ascii="仿宋_GB2312" w:hAnsi="仿宋_GB2312" w:eastAsia="仿宋_GB2312" w:cs="仿宋_GB2312"/>
          <w:sz w:val="28"/>
          <w:szCs w:val="28"/>
        </w:rPr>
        <w:t>已达到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配额总量的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28"/>
          <w:szCs w:val="28"/>
        </w:rPr>
        <w:t>%。</w:t>
      </w:r>
    </w:p>
    <w:p w14:paraId="60DC5B84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请严格按照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限额捕捞管理要求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开展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捕捞作业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如后期管理部门发出停止今年专项捕捞作业的通知，请及时返回属地港口码头</w:t>
      </w:r>
      <w:r>
        <w:rPr>
          <w:rFonts w:hint="eastAsia" w:ascii="仿宋_GB2312" w:hAnsi="仿宋_GB2312" w:eastAsia="仿宋_GB2312" w:cs="仿宋_GB2312"/>
          <w:sz w:val="28"/>
          <w:szCs w:val="28"/>
        </w:rPr>
        <w:t>，并将《专项（特许）渔业捕捞许可证》（原件）交区</w:t>
      </w:r>
      <w:r>
        <w:rPr>
          <w:rFonts w:hint="eastAsia" w:ascii="仿宋_GB2312" w:hAnsi="仿宋_GB2312" w:eastAsia="仿宋_GB2312" w:cs="仿宋_GB2312"/>
          <w:sz w:val="28"/>
          <w:szCs w:val="28"/>
          <w:lang w:eastAsia="zh"/>
          <w:woUserID w:val="1"/>
        </w:rPr>
        <w:t>渔业执法机构</w:t>
      </w:r>
      <w:r>
        <w:rPr>
          <w:rFonts w:hint="eastAsia" w:ascii="仿宋_GB2312" w:hAnsi="仿宋_GB2312" w:eastAsia="仿宋_GB2312" w:cs="仿宋_GB2312"/>
          <w:sz w:val="28"/>
          <w:szCs w:val="28"/>
        </w:rPr>
        <w:t>。如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发生拒不执行停止捕捞、</w:t>
      </w:r>
      <w:r>
        <w:rPr>
          <w:rFonts w:hint="eastAsia" w:ascii="仿宋_GB2312" w:hAnsi="仿宋_GB2312" w:eastAsia="仿宋_GB2312" w:cs="仿宋_GB2312"/>
          <w:sz w:val="28"/>
          <w:szCs w:val="28"/>
        </w:rPr>
        <w:t>超配额捕捞行为，将按照《渔业捕捞许可管理规定》第四十一条、《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28"/>
          <w:szCs w:val="28"/>
        </w:rPr>
        <w:t>上海市伏休期间海蜇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、桁杆拖虾专项</w:t>
      </w:r>
      <w:r>
        <w:rPr>
          <w:rFonts w:hint="eastAsia" w:ascii="仿宋_GB2312" w:hAnsi="仿宋_GB2312" w:eastAsia="仿宋_GB2312" w:cs="仿宋_GB2312"/>
          <w:sz w:val="28"/>
          <w:szCs w:val="28"/>
        </w:rPr>
        <w:t>限额捕捞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实施</w:t>
      </w:r>
      <w:r>
        <w:rPr>
          <w:rFonts w:hint="eastAsia" w:ascii="仿宋_GB2312" w:hAnsi="仿宋_GB2312" w:eastAsia="仿宋_GB2312" w:cs="仿宋_GB2312"/>
          <w:sz w:val="28"/>
          <w:szCs w:val="28"/>
        </w:rPr>
        <w:t>方案》相关规定，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依法依规处理并</w:t>
      </w:r>
      <w:r>
        <w:rPr>
          <w:rFonts w:hint="eastAsia" w:ascii="仿宋_GB2312" w:hAnsi="仿宋_GB2312" w:eastAsia="仿宋_GB2312" w:cs="仿宋_GB2312"/>
          <w:sz w:val="28"/>
          <w:szCs w:val="28"/>
        </w:rPr>
        <w:t>取消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次</w:t>
      </w:r>
      <w:r>
        <w:rPr>
          <w:rFonts w:hint="eastAsia" w:ascii="仿宋_GB2312" w:hAnsi="仿宋_GB2312" w:eastAsia="仿宋_GB2312" w:cs="仿宋_GB2312"/>
          <w:sz w:val="28"/>
          <w:szCs w:val="28"/>
        </w:rPr>
        <w:t>年专项捕捞申请资格。</w:t>
      </w:r>
    </w:p>
    <w:p w14:paraId="5838B96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78EDE09">
      <w:pPr>
        <w:ind w:left="3920" w:hanging="3920" w:hangingChars="14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区渔</w:t>
      </w:r>
      <w:r>
        <w:rPr>
          <w:rFonts w:hint="eastAsia" w:ascii="仿宋_GB2312" w:hAnsi="仿宋_GB2312" w:eastAsia="仿宋_GB2312" w:cs="仿宋_GB2312"/>
          <w:sz w:val="28"/>
          <w:szCs w:val="28"/>
          <w:lang w:eastAsia="zh"/>
          <w:woUserID w:val="1"/>
        </w:rPr>
        <w:t>业</w:t>
      </w:r>
      <w:r>
        <w:rPr>
          <w:rFonts w:hint="eastAsia" w:ascii="仿宋_GB2312" w:hAnsi="仿宋_GB2312" w:eastAsia="仿宋_GB2312" w:cs="仿宋_GB2312"/>
          <w:sz w:val="28"/>
          <w:szCs w:val="28"/>
        </w:rPr>
        <w:t>执法人员（签字）：</w:t>
      </w:r>
    </w:p>
    <w:p w14:paraId="2B080339">
      <w:pPr>
        <w:ind w:left="3920" w:hanging="3920" w:hangingChars="14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科研单位人员（签字）：</w:t>
      </w:r>
    </w:p>
    <w:p w14:paraId="7BE0BE29">
      <w:pPr>
        <w:ind w:left="3920" w:hanging="3920" w:hangingChars="14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上海市农业农村委员会                                                     </w:t>
      </w:r>
    </w:p>
    <w:p w14:paraId="0E7B436F">
      <w:pPr>
        <w:ind w:left="4469" w:leftChars="2128" w:firstLine="1120" w:firstLineChars="4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日</w:t>
      </w:r>
    </w:p>
    <w:p w14:paraId="48021E41">
      <w:pPr>
        <w:ind w:left="4469" w:leftChars="2128" w:firstLine="1120" w:firstLineChars="4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361047D">
      <w:pPr>
        <w:spacing w:line="240" w:lineRule="auto"/>
        <w:ind w:firstLine="2520" w:firstLineChars="9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（本通知单一式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3F85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0751A"/>
    <w:rsid w:val="0000506D"/>
    <w:rsid w:val="00015E1B"/>
    <w:rsid w:val="000277CC"/>
    <w:rsid w:val="00071B8E"/>
    <w:rsid w:val="000939BA"/>
    <w:rsid w:val="000D51DC"/>
    <w:rsid w:val="000E30CA"/>
    <w:rsid w:val="000E6E55"/>
    <w:rsid w:val="00100888"/>
    <w:rsid w:val="00127120"/>
    <w:rsid w:val="00137EEF"/>
    <w:rsid w:val="0018492C"/>
    <w:rsid w:val="001B2613"/>
    <w:rsid w:val="001E6033"/>
    <w:rsid w:val="002254A0"/>
    <w:rsid w:val="00231E43"/>
    <w:rsid w:val="002B5D44"/>
    <w:rsid w:val="002C1807"/>
    <w:rsid w:val="00317B92"/>
    <w:rsid w:val="003C164D"/>
    <w:rsid w:val="003C3EDA"/>
    <w:rsid w:val="003E3FD7"/>
    <w:rsid w:val="00406923"/>
    <w:rsid w:val="00427737"/>
    <w:rsid w:val="004424D6"/>
    <w:rsid w:val="00466D42"/>
    <w:rsid w:val="004B02EE"/>
    <w:rsid w:val="004B44E6"/>
    <w:rsid w:val="004C2DB0"/>
    <w:rsid w:val="004C46DF"/>
    <w:rsid w:val="004F64C2"/>
    <w:rsid w:val="00506DBB"/>
    <w:rsid w:val="00583B07"/>
    <w:rsid w:val="00584A57"/>
    <w:rsid w:val="0059232E"/>
    <w:rsid w:val="005A01A7"/>
    <w:rsid w:val="005A2B18"/>
    <w:rsid w:val="005C5A62"/>
    <w:rsid w:val="005E12E5"/>
    <w:rsid w:val="00626C30"/>
    <w:rsid w:val="00627327"/>
    <w:rsid w:val="0065715B"/>
    <w:rsid w:val="00675C3C"/>
    <w:rsid w:val="00696099"/>
    <w:rsid w:val="006A4F1B"/>
    <w:rsid w:val="006C0815"/>
    <w:rsid w:val="006C29F1"/>
    <w:rsid w:val="006D3805"/>
    <w:rsid w:val="006F5BD1"/>
    <w:rsid w:val="00722929"/>
    <w:rsid w:val="00723B89"/>
    <w:rsid w:val="00724800"/>
    <w:rsid w:val="00725945"/>
    <w:rsid w:val="00725D1A"/>
    <w:rsid w:val="007340CC"/>
    <w:rsid w:val="00745098"/>
    <w:rsid w:val="00773457"/>
    <w:rsid w:val="007D4901"/>
    <w:rsid w:val="007E49E6"/>
    <w:rsid w:val="00860C09"/>
    <w:rsid w:val="008637DC"/>
    <w:rsid w:val="008D76AD"/>
    <w:rsid w:val="008F2B19"/>
    <w:rsid w:val="00911EC1"/>
    <w:rsid w:val="009267E5"/>
    <w:rsid w:val="00932EC1"/>
    <w:rsid w:val="00962011"/>
    <w:rsid w:val="0096549D"/>
    <w:rsid w:val="009823DD"/>
    <w:rsid w:val="00A12A27"/>
    <w:rsid w:val="00A26F91"/>
    <w:rsid w:val="00B56E59"/>
    <w:rsid w:val="00B8569A"/>
    <w:rsid w:val="00B86D36"/>
    <w:rsid w:val="00BE0C63"/>
    <w:rsid w:val="00C175E3"/>
    <w:rsid w:val="00C22D31"/>
    <w:rsid w:val="00CD572A"/>
    <w:rsid w:val="00D52381"/>
    <w:rsid w:val="00D97C0B"/>
    <w:rsid w:val="00E36096"/>
    <w:rsid w:val="00E7114B"/>
    <w:rsid w:val="00E97001"/>
    <w:rsid w:val="00ED1235"/>
    <w:rsid w:val="00F0751A"/>
    <w:rsid w:val="00F53D84"/>
    <w:rsid w:val="00F70C03"/>
    <w:rsid w:val="00F868DC"/>
    <w:rsid w:val="02135952"/>
    <w:rsid w:val="029C72ED"/>
    <w:rsid w:val="03823D16"/>
    <w:rsid w:val="044B7EC1"/>
    <w:rsid w:val="05491A92"/>
    <w:rsid w:val="06E60791"/>
    <w:rsid w:val="06E713A2"/>
    <w:rsid w:val="07353EAE"/>
    <w:rsid w:val="07934DFF"/>
    <w:rsid w:val="0A052CDC"/>
    <w:rsid w:val="0AB07F84"/>
    <w:rsid w:val="0CB47C7B"/>
    <w:rsid w:val="0D5C7888"/>
    <w:rsid w:val="0DB7FAA9"/>
    <w:rsid w:val="0DEA5390"/>
    <w:rsid w:val="0DF05089"/>
    <w:rsid w:val="0E2366AE"/>
    <w:rsid w:val="0E85477B"/>
    <w:rsid w:val="0EBB481D"/>
    <w:rsid w:val="0F092CD4"/>
    <w:rsid w:val="0F933018"/>
    <w:rsid w:val="0FDF3728"/>
    <w:rsid w:val="10C151A5"/>
    <w:rsid w:val="11904844"/>
    <w:rsid w:val="11A7688F"/>
    <w:rsid w:val="132B44CE"/>
    <w:rsid w:val="136665BD"/>
    <w:rsid w:val="13A765A4"/>
    <w:rsid w:val="14C354FB"/>
    <w:rsid w:val="151F1B32"/>
    <w:rsid w:val="153B07D6"/>
    <w:rsid w:val="15FF1920"/>
    <w:rsid w:val="164DF71D"/>
    <w:rsid w:val="166E67DB"/>
    <w:rsid w:val="16FFD773"/>
    <w:rsid w:val="174375E8"/>
    <w:rsid w:val="17DB06BB"/>
    <w:rsid w:val="17DFCD45"/>
    <w:rsid w:val="191D39D7"/>
    <w:rsid w:val="1ABBA2FA"/>
    <w:rsid w:val="1B2B17C8"/>
    <w:rsid w:val="1BA05BDC"/>
    <w:rsid w:val="1D4D75AF"/>
    <w:rsid w:val="1E06707D"/>
    <w:rsid w:val="1E12347F"/>
    <w:rsid w:val="1E8B6BC2"/>
    <w:rsid w:val="1E934BA4"/>
    <w:rsid w:val="1EAF1114"/>
    <w:rsid w:val="1EF1AA56"/>
    <w:rsid w:val="1FC8711E"/>
    <w:rsid w:val="1FFF6095"/>
    <w:rsid w:val="201B662E"/>
    <w:rsid w:val="212C00E7"/>
    <w:rsid w:val="21F611FE"/>
    <w:rsid w:val="25AE088D"/>
    <w:rsid w:val="2602136A"/>
    <w:rsid w:val="262E4350"/>
    <w:rsid w:val="263EA49F"/>
    <w:rsid w:val="27BF56D4"/>
    <w:rsid w:val="27DCD3A2"/>
    <w:rsid w:val="27E21846"/>
    <w:rsid w:val="27E6182E"/>
    <w:rsid w:val="27F0300E"/>
    <w:rsid w:val="295C4E02"/>
    <w:rsid w:val="299F3FE7"/>
    <w:rsid w:val="29D92463"/>
    <w:rsid w:val="2A5D3C79"/>
    <w:rsid w:val="2B012BD9"/>
    <w:rsid w:val="2B330964"/>
    <w:rsid w:val="2CFFE990"/>
    <w:rsid w:val="2D3E4482"/>
    <w:rsid w:val="2D4B742E"/>
    <w:rsid w:val="2DFF3E1B"/>
    <w:rsid w:val="2E386BB8"/>
    <w:rsid w:val="2FBF1AA5"/>
    <w:rsid w:val="2FDC3C04"/>
    <w:rsid w:val="2FFBEB2B"/>
    <w:rsid w:val="30CF8FF0"/>
    <w:rsid w:val="30E729A8"/>
    <w:rsid w:val="31353DE9"/>
    <w:rsid w:val="31460F33"/>
    <w:rsid w:val="314B64A9"/>
    <w:rsid w:val="317C3525"/>
    <w:rsid w:val="333334C7"/>
    <w:rsid w:val="338B6A75"/>
    <w:rsid w:val="33CFD542"/>
    <w:rsid w:val="34A76BC9"/>
    <w:rsid w:val="34EA4A3E"/>
    <w:rsid w:val="34FD8EAF"/>
    <w:rsid w:val="35807CD0"/>
    <w:rsid w:val="35B712A3"/>
    <w:rsid w:val="35D3279C"/>
    <w:rsid w:val="367D51FC"/>
    <w:rsid w:val="37234E5A"/>
    <w:rsid w:val="373A47C3"/>
    <w:rsid w:val="376F7D56"/>
    <w:rsid w:val="37FB8137"/>
    <w:rsid w:val="388D0F6D"/>
    <w:rsid w:val="38C47F86"/>
    <w:rsid w:val="397B0CFF"/>
    <w:rsid w:val="398112F8"/>
    <w:rsid w:val="39C8518A"/>
    <w:rsid w:val="39EF75FD"/>
    <w:rsid w:val="39F79A8E"/>
    <w:rsid w:val="3A7F116E"/>
    <w:rsid w:val="3AB338C6"/>
    <w:rsid w:val="3BAE5E94"/>
    <w:rsid w:val="3C1708D8"/>
    <w:rsid w:val="3C6F0BB9"/>
    <w:rsid w:val="3C6F7A32"/>
    <w:rsid w:val="3C8D4C99"/>
    <w:rsid w:val="3CBEFA0F"/>
    <w:rsid w:val="3D460955"/>
    <w:rsid w:val="3DDE9C6A"/>
    <w:rsid w:val="3DFD58C5"/>
    <w:rsid w:val="3E05119B"/>
    <w:rsid w:val="3F419461"/>
    <w:rsid w:val="3F5B7561"/>
    <w:rsid w:val="3F5E4DE2"/>
    <w:rsid w:val="3F5F7738"/>
    <w:rsid w:val="3F99A475"/>
    <w:rsid w:val="3FCBF8BA"/>
    <w:rsid w:val="3FFED590"/>
    <w:rsid w:val="3FFF12BA"/>
    <w:rsid w:val="3FFF2329"/>
    <w:rsid w:val="40711BEB"/>
    <w:rsid w:val="41460E6A"/>
    <w:rsid w:val="41996B8D"/>
    <w:rsid w:val="41EA5149"/>
    <w:rsid w:val="427D15B8"/>
    <w:rsid w:val="42A844B3"/>
    <w:rsid w:val="42F71A16"/>
    <w:rsid w:val="433B217A"/>
    <w:rsid w:val="43D22871"/>
    <w:rsid w:val="44E36463"/>
    <w:rsid w:val="45053297"/>
    <w:rsid w:val="451C430D"/>
    <w:rsid w:val="458F6006"/>
    <w:rsid w:val="45FF7AA6"/>
    <w:rsid w:val="46095203"/>
    <w:rsid w:val="467F8F8B"/>
    <w:rsid w:val="469CE66E"/>
    <w:rsid w:val="487E4D68"/>
    <w:rsid w:val="488E43C3"/>
    <w:rsid w:val="49920819"/>
    <w:rsid w:val="49EFF4B4"/>
    <w:rsid w:val="4A3F5044"/>
    <w:rsid w:val="4B3303FA"/>
    <w:rsid w:val="4B6DE965"/>
    <w:rsid w:val="4BB62ECA"/>
    <w:rsid w:val="4C846B76"/>
    <w:rsid w:val="4C890DE4"/>
    <w:rsid w:val="4D941007"/>
    <w:rsid w:val="4E5B8BF5"/>
    <w:rsid w:val="4E9F7065"/>
    <w:rsid w:val="4EFF08BC"/>
    <w:rsid w:val="4F9DC6B3"/>
    <w:rsid w:val="4FB74EBA"/>
    <w:rsid w:val="4FBA23E6"/>
    <w:rsid w:val="503D71DD"/>
    <w:rsid w:val="505215F5"/>
    <w:rsid w:val="50750940"/>
    <w:rsid w:val="50A2322D"/>
    <w:rsid w:val="518B6A03"/>
    <w:rsid w:val="51C5737D"/>
    <w:rsid w:val="51FED7AB"/>
    <w:rsid w:val="51FF46EB"/>
    <w:rsid w:val="535FEFFC"/>
    <w:rsid w:val="53FFC6BE"/>
    <w:rsid w:val="542C26EB"/>
    <w:rsid w:val="54C21D3F"/>
    <w:rsid w:val="54FF763C"/>
    <w:rsid w:val="556917E0"/>
    <w:rsid w:val="556C5C25"/>
    <w:rsid w:val="55B061E3"/>
    <w:rsid w:val="55D1349A"/>
    <w:rsid w:val="56B83E5F"/>
    <w:rsid w:val="575F0CE4"/>
    <w:rsid w:val="579F0F82"/>
    <w:rsid w:val="57AFFB6F"/>
    <w:rsid w:val="57B5A120"/>
    <w:rsid w:val="57FC1FBA"/>
    <w:rsid w:val="5872765E"/>
    <w:rsid w:val="58E45BE6"/>
    <w:rsid w:val="597867E7"/>
    <w:rsid w:val="59B15DE2"/>
    <w:rsid w:val="5A4D6D45"/>
    <w:rsid w:val="5A7476E0"/>
    <w:rsid w:val="5ABE6B03"/>
    <w:rsid w:val="5C0072F6"/>
    <w:rsid w:val="5CEFD6F9"/>
    <w:rsid w:val="5D3DDCA8"/>
    <w:rsid w:val="5D771F56"/>
    <w:rsid w:val="5DF7596E"/>
    <w:rsid w:val="5DF7ACE5"/>
    <w:rsid w:val="5DFF2CCB"/>
    <w:rsid w:val="5EAFFACB"/>
    <w:rsid w:val="5EDD7C16"/>
    <w:rsid w:val="5EEA214C"/>
    <w:rsid w:val="5EFA7CCD"/>
    <w:rsid w:val="5F6D27FF"/>
    <w:rsid w:val="5FD6504F"/>
    <w:rsid w:val="5FDD56E7"/>
    <w:rsid w:val="5FF148E9"/>
    <w:rsid w:val="5FF7037E"/>
    <w:rsid w:val="5FFE402A"/>
    <w:rsid w:val="5FFF9E07"/>
    <w:rsid w:val="603215CE"/>
    <w:rsid w:val="60B72C28"/>
    <w:rsid w:val="61995562"/>
    <w:rsid w:val="61FB9F76"/>
    <w:rsid w:val="62747EC5"/>
    <w:rsid w:val="62DF77B6"/>
    <w:rsid w:val="63314BF4"/>
    <w:rsid w:val="640A0544"/>
    <w:rsid w:val="64EEAF04"/>
    <w:rsid w:val="65CA5E03"/>
    <w:rsid w:val="65DFB092"/>
    <w:rsid w:val="65E40313"/>
    <w:rsid w:val="65EF8254"/>
    <w:rsid w:val="66806A79"/>
    <w:rsid w:val="66F70955"/>
    <w:rsid w:val="67037E64"/>
    <w:rsid w:val="67054F6A"/>
    <w:rsid w:val="67814CF1"/>
    <w:rsid w:val="67FBBD89"/>
    <w:rsid w:val="689352B2"/>
    <w:rsid w:val="689E2214"/>
    <w:rsid w:val="68E76ED2"/>
    <w:rsid w:val="697D4042"/>
    <w:rsid w:val="69BEE34F"/>
    <w:rsid w:val="6A023CE5"/>
    <w:rsid w:val="6A75D360"/>
    <w:rsid w:val="6ACB1448"/>
    <w:rsid w:val="6B3EA8CE"/>
    <w:rsid w:val="6BF2EAEE"/>
    <w:rsid w:val="6D56036D"/>
    <w:rsid w:val="6D5759BE"/>
    <w:rsid w:val="6D6C57A8"/>
    <w:rsid w:val="6D7F90EB"/>
    <w:rsid w:val="6D8E473F"/>
    <w:rsid w:val="6DE72866"/>
    <w:rsid w:val="6E952D69"/>
    <w:rsid w:val="6E9ED804"/>
    <w:rsid w:val="6EB81073"/>
    <w:rsid w:val="6F1D6466"/>
    <w:rsid w:val="6F5E1A31"/>
    <w:rsid w:val="6F7FB24D"/>
    <w:rsid w:val="6FC7893E"/>
    <w:rsid w:val="6FE2B79E"/>
    <w:rsid w:val="6FEFBBA5"/>
    <w:rsid w:val="6FF5B5F8"/>
    <w:rsid w:val="6FF6C0A7"/>
    <w:rsid w:val="6FF85BA1"/>
    <w:rsid w:val="6FFB1096"/>
    <w:rsid w:val="6FFCB597"/>
    <w:rsid w:val="6FFF598D"/>
    <w:rsid w:val="70ED7AD2"/>
    <w:rsid w:val="70EFD664"/>
    <w:rsid w:val="711A37E7"/>
    <w:rsid w:val="71F71F11"/>
    <w:rsid w:val="72F52C2E"/>
    <w:rsid w:val="732C50EB"/>
    <w:rsid w:val="737F093B"/>
    <w:rsid w:val="743A3241"/>
    <w:rsid w:val="74F7E4DF"/>
    <w:rsid w:val="758B0DC9"/>
    <w:rsid w:val="75E3565B"/>
    <w:rsid w:val="75F74435"/>
    <w:rsid w:val="764C7598"/>
    <w:rsid w:val="767D947E"/>
    <w:rsid w:val="76D71FBA"/>
    <w:rsid w:val="76E7585D"/>
    <w:rsid w:val="77131366"/>
    <w:rsid w:val="773E7AC7"/>
    <w:rsid w:val="777661DF"/>
    <w:rsid w:val="77EFCB53"/>
    <w:rsid w:val="77F679ED"/>
    <w:rsid w:val="77F74A5B"/>
    <w:rsid w:val="77FC0EB7"/>
    <w:rsid w:val="77FF4651"/>
    <w:rsid w:val="78FE2757"/>
    <w:rsid w:val="796625EC"/>
    <w:rsid w:val="798F40C3"/>
    <w:rsid w:val="79C7685E"/>
    <w:rsid w:val="79E7DDCA"/>
    <w:rsid w:val="79F9640D"/>
    <w:rsid w:val="79FF32C8"/>
    <w:rsid w:val="7A7519BB"/>
    <w:rsid w:val="7AFC7CD7"/>
    <w:rsid w:val="7B555AA2"/>
    <w:rsid w:val="7B6D8F44"/>
    <w:rsid w:val="7BBFAF23"/>
    <w:rsid w:val="7BEA7E32"/>
    <w:rsid w:val="7BF787CF"/>
    <w:rsid w:val="7BF792D3"/>
    <w:rsid w:val="7BFB771D"/>
    <w:rsid w:val="7BFD5DB1"/>
    <w:rsid w:val="7BFFDDC3"/>
    <w:rsid w:val="7C738C42"/>
    <w:rsid w:val="7CB4142A"/>
    <w:rsid w:val="7CBE64C8"/>
    <w:rsid w:val="7CFBEE70"/>
    <w:rsid w:val="7CFBF91F"/>
    <w:rsid w:val="7D1D4E50"/>
    <w:rsid w:val="7D5DF2A9"/>
    <w:rsid w:val="7D6B2B23"/>
    <w:rsid w:val="7DBD1194"/>
    <w:rsid w:val="7DBEF223"/>
    <w:rsid w:val="7DD74D5E"/>
    <w:rsid w:val="7DDDA4A5"/>
    <w:rsid w:val="7DFF1039"/>
    <w:rsid w:val="7E5213CA"/>
    <w:rsid w:val="7E75562D"/>
    <w:rsid w:val="7ECF231B"/>
    <w:rsid w:val="7EDF459B"/>
    <w:rsid w:val="7EDFE579"/>
    <w:rsid w:val="7EEBBE61"/>
    <w:rsid w:val="7EEF1D04"/>
    <w:rsid w:val="7EF3B858"/>
    <w:rsid w:val="7EF7A3B7"/>
    <w:rsid w:val="7EF9B247"/>
    <w:rsid w:val="7EFDF9DE"/>
    <w:rsid w:val="7F2727F6"/>
    <w:rsid w:val="7F29E915"/>
    <w:rsid w:val="7F2F0889"/>
    <w:rsid w:val="7F3F5CED"/>
    <w:rsid w:val="7F566135"/>
    <w:rsid w:val="7F729766"/>
    <w:rsid w:val="7F746500"/>
    <w:rsid w:val="7F7D58EC"/>
    <w:rsid w:val="7F910B72"/>
    <w:rsid w:val="7FB7C4FB"/>
    <w:rsid w:val="7FB98D67"/>
    <w:rsid w:val="7FBF1E10"/>
    <w:rsid w:val="7FBF661B"/>
    <w:rsid w:val="7FDF9136"/>
    <w:rsid w:val="7FEE8BB7"/>
    <w:rsid w:val="7FF93F23"/>
    <w:rsid w:val="7FFDC9B9"/>
    <w:rsid w:val="7FFE17BF"/>
    <w:rsid w:val="7FFF6665"/>
    <w:rsid w:val="7FFF67C0"/>
    <w:rsid w:val="7FFFA35F"/>
    <w:rsid w:val="7FFFFF18"/>
    <w:rsid w:val="8B3DDAA6"/>
    <w:rsid w:val="8EE7CD94"/>
    <w:rsid w:val="8FF16DA0"/>
    <w:rsid w:val="9D4B5CFF"/>
    <w:rsid w:val="9F975817"/>
    <w:rsid w:val="9FFF88F9"/>
    <w:rsid w:val="A3F646DF"/>
    <w:rsid w:val="A3F90F15"/>
    <w:rsid w:val="A77B6418"/>
    <w:rsid w:val="A77FF7D3"/>
    <w:rsid w:val="A7FB22EA"/>
    <w:rsid w:val="A8F46867"/>
    <w:rsid w:val="ABE5F4AE"/>
    <w:rsid w:val="AF3D5BBE"/>
    <w:rsid w:val="AFDF7B38"/>
    <w:rsid w:val="AFE777EF"/>
    <w:rsid w:val="AFFF904A"/>
    <w:rsid w:val="B3CE57D4"/>
    <w:rsid w:val="B776CE8A"/>
    <w:rsid w:val="B7EF4964"/>
    <w:rsid w:val="B7FB2330"/>
    <w:rsid w:val="BA67A93B"/>
    <w:rsid w:val="BA7B23C6"/>
    <w:rsid w:val="BAFAB110"/>
    <w:rsid w:val="BBF7B276"/>
    <w:rsid w:val="BDA326DC"/>
    <w:rsid w:val="BDBF81AC"/>
    <w:rsid w:val="BE1F43FA"/>
    <w:rsid w:val="BE3C4E81"/>
    <w:rsid w:val="BECF7188"/>
    <w:rsid w:val="BEDDE3F9"/>
    <w:rsid w:val="BEFFDCBD"/>
    <w:rsid w:val="BF53692B"/>
    <w:rsid w:val="BF5B0793"/>
    <w:rsid w:val="BF5C6483"/>
    <w:rsid w:val="BF5FAFD9"/>
    <w:rsid w:val="BF673FE8"/>
    <w:rsid w:val="BF779693"/>
    <w:rsid w:val="BFAF4E57"/>
    <w:rsid w:val="BFBD98CB"/>
    <w:rsid w:val="BFF7E4CF"/>
    <w:rsid w:val="BFFF575B"/>
    <w:rsid w:val="BFFFB7A4"/>
    <w:rsid w:val="C7D67C01"/>
    <w:rsid w:val="CBB19759"/>
    <w:rsid w:val="CD17F184"/>
    <w:rsid w:val="CE1F349D"/>
    <w:rsid w:val="CF6E8557"/>
    <w:rsid w:val="CFBF14C2"/>
    <w:rsid w:val="CFECBE48"/>
    <w:rsid w:val="CFFE6D28"/>
    <w:rsid w:val="D0F5A641"/>
    <w:rsid w:val="D1FE4F1D"/>
    <w:rsid w:val="D2FAD96D"/>
    <w:rsid w:val="D37B83D9"/>
    <w:rsid w:val="D3EB36B7"/>
    <w:rsid w:val="D66F5E64"/>
    <w:rsid w:val="D7BB2340"/>
    <w:rsid w:val="D7EF74A2"/>
    <w:rsid w:val="D87D0157"/>
    <w:rsid w:val="DBFF0B6C"/>
    <w:rsid w:val="DCF6FF5E"/>
    <w:rsid w:val="DCFC63CB"/>
    <w:rsid w:val="DDBE58DA"/>
    <w:rsid w:val="DE2DC12F"/>
    <w:rsid w:val="DE764DA4"/>
    <w:rsid w:val="DEB7563E"/>
    <w:rsid w:val="DEE3A1EA"/>
    <w:rsid w:val="DFDD5D01"/>
    <w:rsid w:val="DFDEDF4A"/>
    <w:rsid w:val="DFE9D732"/>
    <w:rsid w:val="E2ED55E3"/>
    <w:rsid w:val="E5BB47D4"/>
    <w:rsid w:val="E64F29B3"/>
    <w:rsid w:val="E677692C"/>
    <w:rsid w:val="E6CD6BA0"/>
    <w:rsid w:val="E7D34AE4"/>
    <w:rsid w:val="E9F71EFB"/>
    <w:rsid w:val="E9FB4E11"/>
    <w:rsid w:val="EBBBBA2D"/>
    <w:rsid w:val="EDC855BE"/>
    <w:rsid w:val="EDE472DC"/>
    <w:rsid w:val="EEF6B56C"/>
    <w:rsid w:val="EEFF0026"/>
    <w:rsid w:val="EF75B8CF"/>
    <w:rsid w:val="EF7B68EF"/>
    <w:rsid w:val="EFBC8F14"/>
    <w:rsid w:val="EFDD8D1D"/>
    <w:rsid w:val="EFFF7782"/>
    <w:rsid w:val="EFFFA773"/>
    <w:rsid w:val="F0DD9F62"/>
    <w:rsid w:val="F25900F1"/>
    <w:rsid w:val="F2FE03CC"/>
    <w:rsid w:val="F35FBC58"/>
    <w:rsid w:val="F3E7C857"/>
    <w:rsid w:val="F57E4C2E"/>
    <w:rsid w:val="F5EED1BF"/>
    <w:rsid w:val="F6075B26"/>
    <w:rsid w:val="F61A0787"/>
    <w:rsid w:val="F67F7B20"/>
    <w:rsid w:val="F6E1A2BC"/>
    <w:rsid w:val="F6FFAA04"/>
    <w:rsid w:val="F76DA534"/>
    <w:rsid w:val="F79FE553"/>
    <w:rsid w:val="F7BDC71B"/>
    <w:rsid w:val="F7BFDF7B"/>
    <w:rsid w:val="F7EBF8EA"/>
    <w:rsid w:val="F7EFF9F4"/>
    <w:rsid w:val="F7FA843E"/>
    <w:rsid w:val="F7FE0BF3"/>
    <w:rsid w:val="F7FE3416"/>
    <w:rsid w:val="F87FDBC9"/>
    <w:rsid w:val="F8F3F2FF"/>
    <w:rsid w:val="F97F764A"/>
    <w:rsid w:val="F9BEBC85"/>
    <w:rsid w:val="F9FBC29A"/>
    <w:rsid w:val="FA1DA621"/>
    <w:rsid w:val="FA7F33B4"/>
    <w:rsid w:val="FAFF8F48"/>
    <w:rsid w:val="FB7D393A"/>
    <w:rsid w:val="FB7FF8FF"/>
    <w:rsid w:val="FBD59138"/>
    <w:rsid w:val="FBDA220F"/>
    <w:rsid w:val="FBE10770"/>
    <w:rsid w:val="FBEB72C3"/>
    <w:rsid w:val="FBEFE0EE"/>
    <w:rsid w:val="FBF98204"/>
    <w:rsid w:val="FBFB5B82"/>
    <w:rsid w:val="FC6F0BBE"/>
    <w:rsid w:val="FC7F13FC"/>
    <w:rsid w:val="FC7F30DF"/>
    <w:rsid w:val="FC9E4D83"/>
    <w:rsid w:val="FCFEF3FE"/>
    <w:rsid w:val="FD6A1D7D"/>
    <w:rsid w:val="FD7F9263"/>
    <w:rsid w:val="FDCF3EA1"/>
    <w:rsid w:val="FDE337B3"/>
    <w:rsid w:val="FDEB7C1D"/>
    <w:rsid w:val="FDFB081D"/>
    <w:rsid w:val="FDFF2A76"/>
    <w:rsid w:val="FE734873"/>
    <w:rsid w:val="FE779398"/>
    <w:rsid w:val="FEA7D4A7"/>
    <w:rsid w:val="FEB1EBA3"/>
    <w:rsid w:val="FEB83556"/>
    <w:rsid w:val="FEBBB910"/>
    <w:rsid w:val="FEBFE9D1"/>
    <w:rsid w:val="FEDB6261"/>
    <w:rsid w:val="FEDE88B5"/>
    <w:rsid w:val="FEECEB01"/>
    <w:rsid w:val="FEF7750C"/>
    <w:rsid w:val="FEFB4E02"/>
    <w:rsid w:val="FEFDD8AC"/>
    <w:rsid w:val="FF17070E"/>
    <w:rsid w:val="FF33E6A2"/>
    <w:rsid w:val="FF49C850"/>
    <w:rsid w:val="FF4E0C44"/>
    <w:rsid w:val="FF5496EE"/>
    <w:rsid w:val="FF7928C4"/>
    <w:rsid w:val="FF7B3EE4"/>
    <w:rsid w:val="FF7BA5F9"/>
    <w:rsid w:val="FF7ED432"/>
    <w:rsid w:val="FFB5F7E3"/>
    <w:rsid w:val="FFB74F0C"/>
    <w:rsid w:val="FFBC0623"/>
    <w:rsid w:val="FFBFFFD9"/>
    <w:rsid w:val="FFCDD2A0"/>
    <w:rsid w:val="FFD79FAD"/>
    <w:rsid w:val="FFDD06FF"/>
    <w:rsid w:val="FFDEA5F3"/>
    <w:rsid w:val="FFDF4EB1"/>
    <w:rsid w:val="FFE7B692"/>
    <w:rsid w:val="FFEF4134"/>
    <w:rsid w:val="FFF74404"/>
    <w:rsid w:val="FFFD4EEA"/>
    <w:rsid w:val="FFFF641D"/>
    <w:rsid w:val="FFFF7B9F"/>
    <w:rsid w:val="FFFFBC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paragraph" w:customStyle="1" w:styleId="10">
    <w:name w:val="Char1 Char Char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4">
    <w:name w:val="Char Char1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517</Words>
  <Characters>550</Characters>
  <Lines>20</Lines>
  <Paragraphs>5</Paragraphs>
  <TotalTime>0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2016-09-15T09:15:00Z</dcterms:created>
  <dc:creator>曾群安</dc:creator>
  <cp:lastModifiedBy>yms</cp:lastModifiedBy>
  <cp:lastPrinted>2013-01-07T20:04:00Z</cp:lastPrinted>
  <dcterms:modified xsi:type="dcterms:W3CDTF">2026-06-25T09:11:34Z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C922A702D2ED371A7A973B6AA7F9D332_43</vt:lpwstr>
  </property>
  <property fmtid="{D5CDD505-2E9C-101B-9397-08002B2CF9AE}" pid="4" name="KSOTemplateDocerSaveRecord">
    <vt:lpwstr>eyJoZGlkIjoiYzNiNmU3ODBhNjNmMzM1ZWY3YmI4MzliOTY3NGMxNzMiLCJ1c2VySWQiOiIxNjkwMzU1OTI0In0=</vt:lpwstr>
  </property>
</Properties>
</file>