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仿宋_GB2312"/>
          <w:b/>
          <w:bCs w:val="0"/>
          <w:spacing w:val="6"/>
          <w:sz w:val="40"/>
          <w:szCs w:val="40"/>
        </w:rPr>
        <w:t>住宅小区物业服务需求清单（试行）</w:t>
      </w:r>
    </w:p>
    <w:bookmarkEnd w:id="0"/>
    <w:p>
      <w:pPr>
        <w:spacing w:before="0" w:after="0" w:line="600" w:lineRule="exact"/>
        <w:ind w:firstLine="3200"/>
        <w:rPr>
          <w:rFonts w:ascii="仿宋_GB2312;微软雅黑" w:hAnsi="仿宋_GB2312;微软雅黑" w:eastAsia="仿宋_GB2312;微软雅黑" w:cs="仿宋_GB2312;微软雅黑"/>
          <w:b/>
          <w:bCs/>
          <w:sz w:val="32"/>
          <w:szCs w:val="32"/>
        </w:rPr>
      </w:pPr>
    </w:p>
    <w:p>
      <w:pPr>
        <w:spacing w:before="0" w:after="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明</w:t>
      </w:r>
    </w:p>
    <w:p>
      <w:pPr>
        <w:spacing w:before="0" w:after="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一、本市倡导物业服务需求清单化管理，清单分为必选事项和可选事项两大类。必选事项包括国家及本市有关法律法规规定及规范性文件明确、保障小区正常运行和安全管理的必要服务事项，按照“基础、常规、提升”设置三个层级，涵盖综合管理、秩序维护、环境卫生、绿化管理、共用设施设备日常管理等五个常规服务模块。可选事项包括个性化延伸服务事项、标注“*”的服务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二、建设单位、业主大会可结合小区设施设备配置实际情况、业主服务需求，在开展选聘续聘物业等活动时，采取增减事项、跨层级选择、模块化组合的灵活方式，将需求清单作为招标依据、物业服务合同约定内容，实现物业服务精准供给、按需适配，推动物业服务质价匹配、合规履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三、各区房管部门要强化统筹指导，切实落实属地管理责任，常态化推进物业服务质价相符，促进物业服务水平持续提升。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50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四、上海市物业管理行业协会要充分发挥行业服务和自律管理作用，组织开展相关业务培训，指导物业服务企业熟练掌握、规范使用事项清单，助推物业行业规范化、标准化发展。</w:t>
      </w:r>
    </w:p>
    <w:p>
      <w:pPr>
        <w:spacing w:before="0" w:after="0" w:line="600" w:lineRule="exact"/>
        <w:ind w:firstLine="3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</w:p>
    <w:p>
      <w:pPr>
        <w:spacing w:before="0" w:after="0" w:line="600" w:lineRule="exact"/>
        <w:ind w:left="0" w:leftChars="0" w:firstLine="0" w:firstLineChars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/>
        </w:rPr>
        <w:br w:type="page"/>
      </w:r>
      <w:r>
        <w:rPr>
          <w:rFonts w:hint="eastAsia" w:ascii="华文中宋" w:hAnsi="华文中宋" w:eastAsia="华文中宋" w:cs="仿宋_GB2312"/>
          <w:b/>
          <w:bCs w:val="0"/>
          <w:spacing w:val="6"/>
          <w:sz w:val="40"/>
          <w:szCs w:val="40"/>
          <w:lang w:val="en-US"/>
        </w:rPr>
        <w:t>住宅小区物业服务需求清单</w:t>
      </w:r>
    </w:p>
    <w:p>
      <w:pPr>
        <w:pStyle w:val="4"/>
        <w:spacing w:line="360" w:lineRule="auto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/>
        </w:rPr>
      </w:pPr>
    </w:p>
    <w:p>
      <w:pPr>
        <w:pStyle w:val="4"/>
        <w:spacing w:line="360" w:lineRule="auto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  <w:lang w:val="en-US"/>
        </w:rPr>
        <w:t>一、综合管理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40"/>
        <w:gridCol w:w="2715"/>
        <w:gridCol w:w="2655"/>
        <w:gridCol w:w="2683"/>
        <w:gridCol w:w="8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项目负责人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任职要求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1）持有物业管理师（四级及以上）及相应的物业经理（初级及以上）职业水平评价证书，或具备项目经理岗位经历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1）持有物业管理师（四级及以上）及相应的物业经理（初级及以上）职业水平评价证书，或具备项目经理岗位经历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1）持有物业管理师（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三级及以上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）及相应的物业经理（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中级及以上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）职业水平评价证书，或具备项目经理岗位经历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从业人员管理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1）统一着装、佩戴工牌、仪容整洁、举止文明、礼貌用语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2）从业人员持证上岗、证书有效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1）统一着装、佩戴工牌、仪容整洁、举止文明、礼貌用语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2）从业人员持证上岗、证书有效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1）统一着装、佩戴工牌、仪容整洁、举止文明、礼貌用语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2）从业人员持证上岗、证书有效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业主接待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1）设固定接待点，每日提供8小时接待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2）24小时接听报修、咨询、投诉等服务电话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1）设固定接待点，每日提供8小时接待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2）24小时接听报修、咨询、投诉等服务电话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1）设服务前台，每日提供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12小时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现场接待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2）24小时接听报修、咨询、投诉等服务电话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投诉处理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1）24小时内响应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个工作日内完成物业服务事项处理，或反馈阶段性处理意见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3）建立投诉时间、投诉事项、反馈时间、处理结果、回访情况的记录台账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1）24小时内响应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个工作日内完成物业服务事项处理，或反馈阶段性处理意见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3）建立投诉时间、投诉事项、反馈时间、处理结果、回访情况的记录台账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12小时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内响应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2）3个工作日内完成物业服务事项处理，或反馈阶段性处理意见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3）建立投诉时间、投诉事项、反馈时间、处理结果、回访情况的记录台账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业主满意度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1）定期沟通回访，每年沟通覆盖比例50%以上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1）定期沟通回访，每年沟通覆盖比例65%以上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1）定期沟通回访，每年沟通覆盖比例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75%以上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）每年1次满意度评测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装修管理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1）办理装修登记等手续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2）装修期间每日巡视1次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3）发现违规装修的，按规定劝阻、制止、报告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4）建立装修管理档案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1）办理装修登记等手续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2）装修期间每日巡视1次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3）发现违规装修的，按规定劝阻、制止、报告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4）建立装修管理档案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1）办理装修登记等手续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2）装修期间每日巡视1次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3）发现违规装修的，按规定劝阻、制止、报告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4）建立装修管理档案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提示类标识管理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按服务信息类、安全警示类、设备设施类、导向指引类、环境管理类设置标识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设施设备房的管理制度、责任人及联系电话上墙公示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按服务信息类、安全警示类、设备设施类、导向指引类、环境管理类设置标识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设施设备房的管理制度、责任人及联系电话上墙公示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按服务信息类、安全警示类、设备设施类、导向指引类、环境管理类设置标识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设施设备房的管理制度、责任人及联系电话上墙公示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3）建立标识管理台账，每半年至少巡视1次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信息公示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1）公开服务合同、收费标准、办事制度、联系方式、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24小时报修电话、项目负责人等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2）按规定公示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年度服务计划与季度履职报告、维修资金账目与公共收益收支公示表等；酬金制项目公布收支预算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等相关信息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1）公开服务合同、收费标准、办事制度、联系方式、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24小时报修电话、项目负责人等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2）按规定公示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年度服务计划与季度履职报告、维修资金账目与公共收益收支公示表等；酬金制项目公布收支预算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等相关信息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1）公开服务合同、收费标准、办事制度、联系方式、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24小时报修电话、项目负责人等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2）按规定公示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年度服务计划与季度履职报告、维修资金账目与公共收益收支公示表等；酬金制项目公布收支预算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等相关信息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  <w:t>应急管理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）编制火灾、停电、停水、防汛等专项应急预案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2）组织应急演练或培训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每年组织消防应急演练不少于1次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3）建立应急物资储备管理、信息上报机制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）编制火灾、停电、停水、防汛等专项应急预案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2）组织应急演练或培训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每年组织消防应急演练不少于1次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3）建立应急物资储备管理、信息上报机制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应急物资分类存放、台账管理、定期核查有效期并补充更新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）编制火灾、停电、停水、防汛等专项应急预案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2）组织应急演练或培训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每年组织消防应急演练不少于1次；电梯困人、防汛等专项演练每年各不少于1次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3）建立应急物资储备管理、信息上报机制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应急物资分类存放、台账管理、定期核查有效期并补充更新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档案管理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竣工图、管线图、业主名册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设施设备维保检测报告、合同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等专人管理、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记录完整、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分类归档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可追溯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2）档案保存期限不少于物业服务合同期限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竣工图、管线图、业主名册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设施设备维保检测报告、合同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等专人管理、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记录完整、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分类归档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可追溯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2）档案保存期限不少于物业服务合同期限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竣工图、管线图、业主名册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设施设备维保检测报告、合同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等专人管理、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记录完整、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分类归档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可追溯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2）档案保存期限不少于物业服务合同期限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节日装饰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布置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1）每年开展1次节日装饰布置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1）每年开展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节日装饰布置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1）每年开展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节日装饰布置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楼栋管理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1）设置专职楼栋管理员：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岗位数量：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服务时间：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智慧物业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1）采用信息化管理系统，实现基础数据数字化存储与管理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1）采用信息化管理系统，实现基础数据、服务数据数字化存储与管理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）提供业主端报修、投诉、公告等线上服务功能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社区活动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1）配合业主委员会、居（村）民委员会开展党建联建、精神文明、公益活动和志愿者活动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1）配合业主委员会、居（村）民委员会开展党建联建、精神文明、公益活动和志愿者活动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2）每年举行2次社区活动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1）配合业主委员会、居（村）民委员会开展党建联建、精神文明、公益活动和志愿者活动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）每年举行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4次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社区活动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1.1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、秩序维护服务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秩序维护员及岗位配置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1）专职安保人员、自动消防系统操作人员按规定持证上岗，保持证件有效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2）年龄低于65周岁比例不少于70%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3）设消控室的，实行双人双岗，24小时值守。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1）专职安保人员、自动消防系统操作人员按规定持证上岗，保持证件有效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2）年龄低于65周岁且平均年龄低于55周岁；专职保安人员比例不少于65%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3）设消控室的，实行双人双岗，24小时值守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1）专职安保人员、自动消防系统操作人员按规定持证上岗，保持证件有效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2）年龄低于65周岁且平均年龄低于50周岁；专职保安人员比例不少于80%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3）设消控室的，实行双人双岗，24小时值守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机动车停放管理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1）维护机动车停放秩序；设置导向、限速、限高等交通标志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）发现乱停放、长期占位、占用消防通道、堵塞出入口等及时劝阻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1）维护机动车停放秩序；设置导向、限速、限高等交通标志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）发现乱停放、长期占位、占用消防通道、堵塞出入口等及时劝阻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1）维护机动车停放秩序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,重点时段安排人员引导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；设置导向、限速、限高等交通标志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）发现乱停放、长期占位、占用消防通道、堵塞出入口等及时劝阻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）停车标识、导向标识保持清晰，反光镜、道闸等完好有效，异常情况及时报修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非机动车停放及充电秩序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1）劝阻飞线充电、入户充电、占用通道等行为，并做好记录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2）充电设施周边灭火器材、提示标识保持完好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3）每日巡查非机动车集中停放和充电区域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1）劝阻飞线充电、入户充电、占用通道等行为，并做好记录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2）充电设施周边灭火器材、提示标识保持完好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3）每日巡查非机动车集中停放和充电区域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1）劝阻飞线充电、入户充电、占用通道等行为，并做好记录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2）充电设施周边灭火器材、提示标识保持完好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3）每日巡查非机动车集中停放和充电区域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秩序巡视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1）主干道、出入口、停车场（库）、非机动车集中充电场所、设施设备房外围、围墙周边及其他可能存在风险的管理区域，每天巡逻1次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2）发现风险、高空抛物行为等公共安全风险情况，及时记录、处置并报告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1）主干道、出入口、停车场（库）、非机动车集中充电场所、设施设备房外围、围墙周边及其他可能存在风险的管理区域，每天巡逻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2次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2）发现风险、高空抛物行为等公共安全风险情况，及时记录、处置并报告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1）主干道、出入口、停车场（库）、非机动车集中充电场所、设施设备房外围、围墙周边及其他可能存在风险的管理区域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，每2小时巡逻1次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2）发现风险、高空抛物行为等公共安全风险情况，及时记录、处置并报告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3）重点区域设置巡更点，形成可追溯巡查记录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楼道及公共部位巡查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1）每半月1次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2）重点检查楼道堆物、堵塞疏散通道、乱张贴乱悬挂、门禁及照明异常等情况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3）发现问题及时提示、劝阻、上报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2）重点检查楼道堆物、堵塞疏散通道、乱张贴乱悬挂、门禁及照明异常等情况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3）发现问题及时提示、劝阻、上报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1）每日1次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2）重点检查楼道堆物、堵塞疏散通道、乱张贴乱悬挂、门禁及照明异常等情况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3）发现问题及时提示、劝阻、上报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snapToGrid/>
              <w:spacing w:line="28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技防监控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1）设有安防监控等技防设备的，保持24小时运行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2）发现异常情况及时通知相关人员至现场处置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3）监控影像资料、报警记录留存不少于30日，不得删改、扩散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4）建立应急备用钥匙管理制度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1）设有安防监控等技防设备的，保持24小时运行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2）发现异常情况及时通知相关人员至现场处置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3）监控影像资料、报警记录留存不少于30日，不得删改、扩散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4）建立应急备用钥匙管理制度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1）设有安防监控等技防设备的，保持24小时运行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2）发现异常情况及时通知相关人员至现场处置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3）监控影像资料、报警记录留存不少于30日，不得删改、扩散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4）建立应急备用钥匙管理制度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消防安全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1）每周1次开展防火巡查，保持消防通道畅通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2）发现堵塞通道、遮挡消防设施等及时劝阻并记录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3）配合消防设施维保、检测和演练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1）每周1次开展防火巡查，保持消防通道畅通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2）发现堵塞通道、遮挡消防设施等及时劝阻并记录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3）配合消防设施维保、检测和演练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1）每周1次开展防火巡查，保持消防通道畅通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2）发现堵塞通道、遮挡消防设施等及时劝阻并记录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3）配合消防设施维保、检测和演练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有限空间及危险作业管理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1)化粪池、集水井、设备管廊等入口设置警示标识，井盖完好上锁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1)化粪池、集水井、设备管廊等入口设置警示标识，井盖完好上锁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1)化粪池、集水井、设备管廊等入口设置警示标识，井盖完好上锁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门岗与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出入口管理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1）封闭式小区，外来车辆出入登记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2）封闭式小区，大件物品出入登记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3）主出入口专职门岗24小时值守；其他门岗设置：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 xml:space="preserve">□无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个，12小时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个，24小时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个，开放时间：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GB" w:eastAsia="zh-CN"/>
              </w:rPr>
              <w:t>4）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无人值守的人行通道设置门禁系统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1）外来车辆出入登记并巡视和协助车辆停放；外来人员出入问询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2）大件物品出入登记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3）主出入口专职门岗24小时值守；其他门岗设置：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个，12小时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个，24小时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个，开放时间：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4）无人值守的人行通道设置门禁系统。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1）外来车辆出入实行问询、登记并进行停放引导；外来人员出入实行问询、登记、引导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2）大件物品出入登记并核实业主或使用人信息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3）主入口24小时专职门岗值守（12小时双人双岗）；其他门岗设置：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个，12小时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个，24小时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（单人、双人、无人）人值守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□有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个，开放时间：</w:t>
            </w:r>
            <w:r>
              <w:rPr>
                <w:rFonts w:hint="eastAsia" w:ascii="仿宋_GB2312;微软雅黑" w:hAnsi="仿宋_GB2312;微软雅黑" w:eastAsia="仿宋_GB2312;微软雅黑" w:cs="仿宋_GB2312;微软雅黑"/>
                <w:b w:val="0"/>
                <w:bCs w:val="0"/>
                <w:sz w:val="16"/>
                <w:szCs w:val="1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单人、双人、无人）人值守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4）无人值守的人行通道设置门禁系统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2.10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其他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pStyle w:val="4"/>
        <w:spacing w:line="360" w:lineRule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、清洁卫生服务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楼道内共用部位（地面、栏杆、扶手）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每周清洁1次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每2日清洁1次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每日清洁1次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共用部位门、窗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门、窗每年擦拭1次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门、窗每季度擦拭1次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门、窗每月擦拭1次，门厅玻璃每周擦拭1次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电梯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每周擦拭1次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轿厢四壁、地面、操作面板无明显污渍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隔日擦拭1次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轿厢四壁、地面光洁明亮、无浮灰；操作面板无灰尘、无擦痕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每日擦拭1次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轿厢四壁、地面光洁明亮、无浮灰；操作面板无灰尘、无擦痕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保持轿厢内空气清新、无异味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平台、屋顶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</w:rPr>
              <w:t>坡屋面除外）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每半年清理屋顶、平台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排水无堵塞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汛期、台风来临前清扫屋面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每季度清理屋顶、平台杂物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每季度疏通管道，排水通畅；天沟落水口、排气孔口网罩完好稳固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汛期、台风来临前清扫屋面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每季度清理屋顶、平台杂物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每季度疏通管道，排水通畅；天沟落水口、排气孔口网罩完好稳固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汛期、台风来临前清扫屋面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公共道路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地面每周清扫不少于3次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明沟每月清扫1次，汛期及时清扫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地面每日清扫1次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明沟每周清扫1次，汛期及时清扫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地面每日清扫2次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明沟每周清扫1次，汛期及时清扫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广场地砖面每月冲洗1次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宣传栏、健身休闲设施等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每月清洁1次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每月清洁2次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每周清洁1次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非机动车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停车（库）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每周清扫2次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每周清扫3次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机动车</w:t>
            </w:r>
          </w:p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停车（库）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坡道、地面无明显积水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坡道、地面无明显积水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每周清扫2次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反光镜、灯具、消防门、消防栓箱、道闸清洁，无明显污迹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坡道、地面无明显积水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每周清扫3次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反光镜、灯具、消防门、消防栓箱、道闸清洁，无明显污迹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生活垃圾箱房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投放点开放时间张贴于显眼处；生活垃圾日产日清；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垃圾分类投放点：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□定时开放，时间：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  <w:t xml:space="preserve">        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□24小时开放</w:t>
            </w:r>
          </w:p>
          <w:p>
            <w:pPr>
              <w:numPr>
                <w:ilvl w:val="0"/>
                <w:numId w:val="1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按要求配置分类垃圾箱/桶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;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垃圾无满溢</w:t>
            </w:r>
          </w:p>
          <w:p>
            <w:pPr>
              <w:numPr>
                <w:ilvl w:val="0"/>
                <w:numId w:val="1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分类驳运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每天冲洗，保持无明显异味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投放点开放时间张贴于显眼处；生活垃圾日产日清；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垃圾分类投放点：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□定时开放，时间：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  <w:t xml:space="preserve">        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□24小时开放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按要求配置分类垃圾箱/桶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;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垃圾无满溢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分类驳运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每天冲洗，保持无明显异味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投放点开放时间张贴于显眼处；生活垃圾日产日清；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垃圾分类投放点：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□定时开放，时间：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"/>
              </w:rPr>
              <w:t xml:space="preserve">        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□24小时开放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按要求配置分类垃圾箱/桶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;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垃圾无满溢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分类驳运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每天冲洗，保持无明显异味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装修垃圾堆放场所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依约设置集中堆放场所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临时堆放点（袋装化收集点），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设置指示标志；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保持堆放场所整洁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依约设置集中堆放场所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临时堆放点（袋装化收集点），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设置指示标志；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保持堆放场所整洁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依约设置集中堆放场所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临时堆放点（袋装化收集点），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设置指示标志；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保持堆放场所整洁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消毒灭杀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每年对垃圾箱/桶、垃圾房、污雨水井、化粪池、绿地、设备房、楼道、停车场及配套设施等实施消杀灭害1次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突发公共卫生事件按防疫部门要求消杀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每季度对垃圾箱／桶、垃圾房、污雨水井、化粪池、绿地、设备房、楼道、停车场及配套设施等实施消杀灭害1次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突发公共卫生事件按防疫部门要求消杀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每月对垃圾箱／桶、垃圾房、污雨水井、化粪池、绿地、设备房、楼道、停车场及配套设施等实施消杀灭害1次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  <w:t>突发公共卫生事件按防疫部门要求消杀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水池（景）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定期打捞漂浮物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dstrike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定期维护水景设施水泵及控制系统；设置安全警示标识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定期打捞漂浮物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水面无杂物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定期维护水景设施水泵及控制系统；设置安全警示标识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2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定期打捞漂浮物</w:t>
            </w:r>
          </w:p>
          <w:p>
            <w:pPr>
              <w:numPr>
                <w:ilvl w:val="0"/>
                <w:numId w:val="2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水体清洁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水池（景）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的水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定期更换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水池（景）底定期清洗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定期投放药剂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定期维护水景设施水泵及控制系统；设置安全警示标识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专项保养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□对外墙面、外幕墙定期清洗，保持整洁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□对花岗岩、大理石地面定期保养，保持地面材质原貌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白蚁防治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zh-CN" w:eastAsia="zh-CN" w:bidi="ar-SA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3.15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</w:tbl>
    <w:p/>
    <w:p>
      <w:pPr>
        <w:pStyle w:val="4"/>
        <w:spacing w:line="360" w:lineRule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、绿化管理服务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绿化区日常清洁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绿化区干净，无明显杂物、垃圾、残枝枯叶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标牌洁净、完好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发现乱堆物、毁绿等情况及时劝阻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绿化区干净，无明显杂物、垃圾、残枝枯叶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标牌洁净、完好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每周巡查不少于1次，发现乱堆物、毁绿等情况及时劝阻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绿化区干净，无明显杂物、垃圾、残枝枯叶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标牌洁净、完好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每周巡查不少于1次，重点绿化区每日关注，发现乱堆物、毁绿等情况及时劝阻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草坪、地被植物养护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2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无大面积枯死</w:t>
            </w:r>
          </w:p>
          <w:p>
            <w:pPr>
              <w:adjustRightInd/>
              <w:snapToGrid/>
              <w:spacing w:before="0" w:after="2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无大面积枯死，黄土裸露面积不高于10%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无明显杂草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修剪、整理及时，每年2次以上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无明显枯死和黄土裸露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无明显杂草，草面基本平整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修剪、整理及时，每年3次以上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灌木、绿篱及造型植物养护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死株、缺株、枯枝及时处置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每年修剪2次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死株、缺株、枯枝及时处置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每年修剪2次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绿篱、球类、造型植物保持基本造型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死株、缺株、枯枝及时处置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每年修剪2次以上，并根据长势和造型要求适时补充修剪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绿篱、球类、造型植物保持基本造型，并做到枝叶茂密、圆整、无脱节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乔木养护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倒伏、死树及时处理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枯枝、断枝、低垂枝等影响安全或通行的，及时清理和上报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汛期、台风前后开展必要排查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倒伏、死树及时处理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枯枝、断枝、低垂枝等影响安全或通行的，及时清理和上报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汛期、台风前后开展必要排查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倒伏、死树及时处理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枯枝、断枝、低垂枝等影响安全或通行的，及时清理和上报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春季、汛前、台风前后开展专项排查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每年一次常规修剪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重点树木、古树名木按规定养护并保留记录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浇灌、排水与土壤养护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高温、干旱季节及时灌溉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雨后及时疏排绿地积水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季节制定浇灌安排，保持有效供水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雨后及时疏排绿地积水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按季节和植物种类实施精细浇灌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雨后及时疏排绿地积水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高温干旱、寒潮、汛期等重点时段有针对性养护措施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病虫害防治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3"/>
              </w:num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发现病虫害及时处置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施药作业做好安全提示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发现病虫害及时处置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定期巡查病虫害高发区域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施药作业做好安全提示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发现病虫害及时处置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定期巡查病虫害高发区域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重点季节开展病虫害专项检查和防治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施药作业做好安全提示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  <w:t>4.7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绿化标识与文明劝导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设置必要的爱绿护绿、禁止踩踏等提示标识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劝阻践踏绿化、占用绿地、私搭乱种等行为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设置必要的爱绿护绿、禁止踩踏等提示标识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劝阻践踏绿化、占用绿地、私搭乱种等行为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设置必要的爱绿护绿、禁止踩踏等提示标识。重点树木、花坛花境可设置铭牌或说明标识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劝阻践踏绿化、占用绿地、私搭乱种等行为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</w:rPr>
              <w:t>4.8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养护计划与台账记录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4"/>
              </w:num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记录修剪、浇灌、病虫害防治等主要事项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制定年度绿化养护计划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0"/>
              </w:tabs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记录修剪、浇灌、病虫害防治等主要事项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制定年度绿化养护计划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记录修剪、浇灌、病虫害防治等主要事项，同时建立绿化问题清单和养护台账，实行整改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制定季度绿化养护计划和重点季节专项安排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定期汇总绿化养护情况，优化重点区域养护措施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2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花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  <w:t>坛、花境养护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保持花卉生长良好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枯萎花卉、黄叶、杂草及时清理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br w:type="textWrapping"/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保持花卉长势良好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枯萎花卉、黄叶、杂草及时清理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每年2次以上花卉布置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保持花卉长势良好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枯萎花卉、黄叶、杂草及时清理</w:t>
            </w:r>
          </w:p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每年4次以上花卉布置，并结合重要节日、重要节点开展应景布置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4.1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before="0" w:after="20" w:line="240" w:lineRule="auto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pStyle w:val="4"/>
        <w:spacing w:line="360" w:lineRule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、共用部位和共用设施设备日常管理</w:t>
      </w:r>
    </w:p>
    <w:tbl>
      <w:tblPr>
        <w:tblStyle w:val="2"/>
        <w:tblW w:w="10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7"/>
        <w:gridCol w:w="2551"/>
        <w:gridCol w:w="2551"/>
        <w:gridCol w:w="2551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8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基础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常规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提升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highlight w:val="lightGray"/>
                <w:lang w:val="en-US"/>
              </w:rPr>
              <w:t>增补服务内容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工程维修人员及岗位配置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配置维修工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配置维修工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名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设立专门工程部门或工程维修岗位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配置维修工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名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设立专门工程部门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60" w:lineRule="exact"/>
              <w:jc w:val="both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报修诉求</w:t>
            </w:r>
          </w:p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响应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每日8小时提供日常维修服务；24小时提供水、电等应急报修响应和先期处置服务，涉及专业单位维修的，及时联络并配合处置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一般维修4小时内响应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急修2小时到现场处置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3个工作日内处理完成或反馈阶段性处理意见，维修完工后24小时内回访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每日8小时提供日常维修服务；24小时提供水、电等应急报修响应和先期处置服务，涉及专业单位维修的，及时联络并配合处置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一般维修3小时内响应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急修30分钟到现场处置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3个工作日内处理完成或反馈阶段性处理意见，维修完工后24小时内回访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每日12小时提供日常维修服务；24小时提供水、电等应急报修响应和先期处置服务，涉及专业单位维修的，及时联络并配合处置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一般维修1小时内响应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急修30分钟到现场处置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3个工作日内处理完成或反馈阶段性处理意见，维修完工后12小时内回访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房屋主体及外立面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高坠等隐患巡查每月1次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发现问题及时上报，必要情况设置警戒线和警示标识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高坠等隐患巡查每月1次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发现问题及时上报，必要情况设置警戒线和警示标识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高坠等隐患巡查每月1次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发现问题及时上报，必要情况设置警戒线和警示标识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6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附属设施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围墙栅栏、景观小品、休闲椅、室外健身设施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无障碍设施，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应保证器械、设施的安全使用，发现损坏立即修理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围墙栅栏、景观小品、休闲椅、室外健身设施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无障碍设施，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应保证器械、设施的安全使用，发现损坏立即修理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围墙栅栏、景观小品、休闲椅、室外健身设施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无障碍设施，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应保证器械、设施的安全使用，发现损坏立即修理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60" w:lineRule="exact"/>
              <w:rPr>
                <w:rFonts w:ascii="Arial Regular;Times New Roman" w:hAnsi="Arial Regular;Times New Roman" w:eastAsia="仿宋_GB2312;微软雅黑" w:cs="Arial Regular;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雷电防护装置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避雷接地日常巡检，确保装置完好，连接牢固、无损，接地电阻安全可靠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18层及以上建筑按规定每年检测1次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避雷接地日常巡检，确保装置完好，连接牢固、无损，接地电阻安全可靠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18层及以上建筑按规定每年检测1次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避雷接地日常巡检，确保装置完好，连接牢固、无损，接地电阻安全可靠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18层及以上建筑按规定每年检测1次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供电系统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每月巡检1次，保持正常运行，记录完整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公共电器箱柜、管道井（水表间）、强弱电间按规定上锁、表体干净；内无堆物、无杂物；防火封堵完好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有高压变（配）电的，绝缘垫、绝缘手套、绝缘靴等安全用具配置齐全、检测合格、定点存放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每月巡检1次，保持正常运行，记录完整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公共电器箱柜、管道井（水表间）、强弱电间按规定上锁、表体干净；内无堆物、无杂物；防火封堵完好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有高压变（配）电的，绝缘垫、绝缘手套、绝缘靴等安全用具配置齐全、检测合格、定点存放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每月巡检1次，保持正常运行，记录完整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公共电器箱柜、管道井（水表间）、强弱电间按规定上锁、表体干净；内无堆物、无杂物；防火封堵完好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有高压变（配）电的，绝缘垫、绝缘手套、绝缘靴等安全用具配置齐全、检测合格、定点存放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5.7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弱电系统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做好日常维保，保持正常运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记录完整、可追溯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做好日常维保，保持正常运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记录完整、可追溯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做好日常维保，保持正常运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记录完整、可追溯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消防系统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每月巡检1次，维保1次，保持正常运行，记录完整、可追溯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灭火器按规定配置、定位放置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*3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消火栓箱内设备配备齐全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每月巡检1次，维保1次，保持正常运行，记录完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、可追溯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灭火器按规定配置、定位放置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*3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消火栓箱内设备配备齐全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每月巡检1次，维保1次，保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持正常运行，记录完整、可追溯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灭火器按规定配置、定位放置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*3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消火栓箱内设备配备齐全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5.9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numPr>
                <w:ilvl w:val="0"/>
                <w:numId w:val="5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升降系统按规定维保，每年进行1次年检；限速器15年以下2年校验1次，15年以上1年1次。取得《安全使用许可证》及检验报告，保障其运行可靠、安全</w:t>
            </w:r>
          </w:p>
          <w:p>
            <w:pPr>
              <w:numPr>
                <w:ilvl w:val="0"/>
                <w:numId w:val="5"/>
              </w:num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发生故障，30分钟内到现场并解困，必要情况设置警戒线和警示标识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轿厢内公示维保单位名称、应急救援电话及上次维保时间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升降系统按规定维保，每年进行1次年检；限速器15年以下2年校验1次，15年以上1年1次。取得《安全使用许可证》及检验报告，保障其运行可靠、安全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发生故障，30分钟内到现场并解困，必要情况设置警戒线和警示标识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轿厢内公示维保单位名称、应急救援电话及上次维保时间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升降系统按规定维保，每年进行1次年检；限速器15年以下2年校验1次，15年以上1年1次。取得《安全使用许可证》及检验报告，保障其运行可靠、安全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发生故障，30分钟内到现场并解困，必要情况设置警戒线和警示标识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轿厢内公示维保单位名称、应急救援电话及上次维保时间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5.10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排水泵及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管网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每月巡检，保障排水畅通，无污水外溢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每月巡检，保障排水畅通，无污水外溢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每月巡检，保障排水畅通，无污水外溢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未移交供水部门的二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次供水设施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每月巡检，保障二次供水设施正常运行，供水畅通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水箱、蓄水池每年清洗2次，水质监测每季度1次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水箱及蓄水池实行双人双锁管理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每月巡检，保障二次供水设施正常运行，供水畅通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水箱、蓄水池每年清洗2次，水质监测每季度1次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水箱及蓄水池实行双人双锁管理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每月巡检，保障二次供水设施正常运行，供水畅通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水箱、蓄水池每年清洗2次，水质监测每季度1次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C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水箱及蓄水池实行双人双锁管理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none"/>
              </w:rPr>
              <w:t>空调系统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定期维护，工作正常，管道完好，阀件及仪表齐备，无跑、冒、滴、漏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每年清洗2次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定期维护，工作正常，管道完好，阀件及仪表齐备，无跑、冒、滴、漏</w:t>
            </w:r>
          </w:p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每年清洗2次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5.13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highlight w:val="lightGray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会所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 xml:space="preserve">使用方式：□内部独享  </w:t>
            </w:r>
            <w:r>
              <w:rPr>
                <w:rFonts w:ascii="Wingdings 2" w:hAnsi="Wingdings 2" w:eastAsia="仿宋_GB2312" w:cs="仿宋_GB2312"/>
                <w:b w:val="0"/>
                <w:bCs w:val="0"/>
                <w:sz w:val="18"/>
                <w:szCs w:val="18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市场化运营（不列入物业费）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使用方式：□内部独享 □市场化运营（不列入物业费）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5.14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人防设施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发现占用人防通道的，按规定劝阻、制止、报告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发现占用人防通道的，按规定劝阻、制止、报告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发现占用人防通道的，按规定劝阻、制止、报告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5.15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新能源汽车充电设施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充电区域消防器材配置齐全、保持有效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电缆桥架敷设规范、无破损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充电区域消防器材配置齐全、保持有效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电缆桥架敷设规范、无破损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充电区域消防器材配置齐全、保持有效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电缆桥架敷设规范、无破损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5.16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二级生化处理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二次生化处理设施设备使用功能完好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定期维护保养，记录完整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二次生化处理设施设备使用功能完好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定期维护保养，记录完整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二次生化处理设施设备使用功能完好</w:t>
            </w:r>
          </w:p>
          <w:p>
            <w:pPr>
              <w:adjustRightInd/>
              <w:snapToGrid/>
              <w:spacing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  <w:t>定期维护保养，记录完整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5.18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/>
              <w:snapToGrid/>
              <w:spacing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  <w:t>其他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/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/>
              <w:spacing w:before="0" w:after="0" w:line="260" w:lineRule="exact"/>
              <w:rPr>
                <w:rFonts w:ascii="Arial Regular;Times New Roman" w:hAnsi="Arial Regular;Times New Roman" w:eastAsia="仿宋_GB2312;微软雅黑" w:cs="Arial Regular;Times New Roman"/>
                <w:sz w:val="18"/>
                <w:szCs w:val="18"/>
              </w:rPr>
            </w:pPr>
          </w:p>
        </w:tc>
      </w:tr>
    </w:tbl>
    <w:p/>
    <w:p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</w:pPr>
      <w:r>
        <w:br w:type="page"/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/>
        </w:rPr>
        <w:t>、延伸服务</w:t>
      </w:r>
    </w:p>
    <w:tbl>
      <w:tblPr>
        <w:tblStyle w:val="2"/>
        <w:tblW w:w="94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518"/>
        <w:gridCol w:w="3125"/>
        <w:gridCol w:w="2377"/>
        <w:gridCol w:w="16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tblHeader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序号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服务项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服务内容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服务方式/频次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vAlign w:val="center"/>
          </w:tcPr>
          <w:p>
            <w:pPr>
              <w:pStyle w:val="4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6.1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快递服务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包裹代收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快递暂存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上门配送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lang w:val="en-US" w:eastAsia="zh-CN"/>
              </w:rPr>
              <w:t xml:space="preserve">        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6.2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居家养老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生活照料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助餐点送餐上门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助洁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助行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助医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助急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康复辅具租赁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6.3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垃圾代收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生活垃圾定时上门收取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6.4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家装服务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家具组装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装修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6.5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车辆服务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代泊车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预约洗车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6.6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宠物服务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宠物洗护美容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宠物疫苗接种、驱虫、简单体检等基础医疗服务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6.7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房屋资产托管服务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招租管理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租金代收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日常维护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税务提醒与申报协助</w:t>
            </w:r>
          </w:p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□ 其他：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/>
              </w:rPr>
              <w:t>6.8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after="0" w:line="280" w:lineRule="exac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  <w:t>*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其他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both"/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</w:rPr>
            </w:pP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服务方式：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  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预约服务</w:t>
            </w:r>
          </w:p>
          <w:p>
            <w:pPr>
              <w:snapToGrid/>
              <w:spacing w:before="0" w:after="0" w:line="280" w:lineRule="exact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服务频次/时间：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before="0" w:after="20" w:line="252" w:lineRule="auto"/>
              <w:jc w:val="both"/>
              <w:rPr>
                <w:rFonts w:ascii="Arial" w:hAnsi="Arial" w:eastAsia="仿宋_GB2312;微软雅黑" w:cs="Arial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right="420" w:righ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right="420" w:righ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;SimHei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;微软雅黑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Regular;Times New Roman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suff w:val="nothing"/>
      <w:lvlText w:val="%1）"/>
      <w:lvlJc w:val="left"/>
      <w:pPr>
        <w:tabs>
          <w:tab w:val="left" w:pos="0"/>
        </w:tabs>
        <w:ind w:left="0" w:firstLine="0"/>
      </w:pPr>
    </w:lvl>
  </w:abstractNum>
  <w:abstractNum w:abstractNumId="1">
    <w:nsid w:val="BF205925"/>
    <w:multiLevelType w:val="singleLevel"/>
    <w:tmpl w:val="BF205925"/>
    <w:lvl w:ilvl="0" w:tentative="0">
      <w:start w:val="1"/>
      <w:numFmt w:val="decimal"/>
      <w:suff w:val="nothing"/>
      <w:lvlText w:val="%1）"/>
      <w:lvlJc w:val="left"/>
      <w:pPr>
        <w:tabs>
          <w:tab w:val="left" w:pos="0"/>
        </w:tabs>
        <w:ind w:left="0" w:firstLine="0"/>
      </w:pPr>
    </w:lvl>
  </w:abstractNum>
  <w:abstractNum w:abstractNumId="2">
    <w:nsid w:val="F4EC6BBE"/>
    <w:multiLevelType w:val="singleLevel"/>
    <w:tmpl w:val="F4EC6BBE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FDEB1DDA"/>
    <w:multiLevelType w:val="singleLevel"/>
    <w:tmpl w:val="FDEB1DDA"/>
    <w:lvl w:ilvl="0" w:tentative="0">
      <w:start w:val="1"/>
      <w:numFmt w:val="decimal"/>
      <w:suff w:val="nothing"/>
      <w:lvlText w:val="%1）"/>
      <w:lvlJc w:val="left"/>
    </w:lvl>
  </w:abstractNum>
  <w:abstractNum w:abstractNumId="4">
    <w:nsid w:val="59ADCABA"/>
    <w:multiLevelType w:val="singleLevel"/>
    <w:tmpl w:val="59ADCABA"/>
    <w:lvl w:ilvl="0" w:tentative="0">
      <w:start w:val="1"/>
      <w:numFmt w:val="decimal"/>
      <w:suff w:val="nothing"/>
      <w:lvlText w:val="%1）"/>
      <w:lvlJc w:val="left"/>
      <w:pPr>
        <w:tabs>
          <w:tab w:val="left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862BE"/>
    <w:rsid w:val="1AA8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蚌埠范本-标题-三级-黑体-小四-左对齐-固定值20"/>
    <w:basedOn w:val="1"/>
    <w:qFormat/>
    <w:uiPriority w:val="0"/>
    <w:pPr>
      <w:keepNext/>
      <w:keepLines/>
      <w:autoSpaceDE/>
      <w:spacing w:before="0" w:after="0" w:line="400" w:lineRule="exact"/>
      <w:outlineLvl w:val="2"/>
    </w:pPr>
    <w:rPr>
      <w:rFonts w:ascii="Times New Roman" w:hAnsi="Times New Roman" w:eastAsia="黑体;SimHei" w:cs="黑体;SimHei"/>
      <w:color w:val="000000"/>
      <w:kern w:val="2"/>
      <w:sz w:val="24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2026-09-17T07:03:00Z</dcterms:created>
  <dc:creator>宁静致远i</dc:creator>
  <cp:lastModifiedBy>宁静致远i</cp:lastModifiedBy>
  <dcterms:modified xsi:type="dcterms:W3CDTF">2026-09-17T07:03:28Z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