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居民人均可支配收入及消费支出</w:t>
      </w:r>
    </w:p>
    <w:tbl>
      <w:tblPr>
        <w:tblStyle w:val="6"/>
        <w:tblpPr w:leftFromText="180" w:rightFromText="180" w:vertAnchor="page" w:horzAnchor="page" w:tblpX="1635" w:tblpY="2988"/>
        <w:tblOverlap w:val="never"/>
        <w:tblW w:w="8860" w:type="dxa"/>
        <w:jc w:val="center"/>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780" w:hRule="atLeast"/>
          <w:jc w:val="center"/>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eastAsia="zh-CN"/>
              </w:rPr>
              <w:t>上半年</w:t>
            </w:r>
          </w:p>
        </w:tc>
      </w:tr>
      <w:tr>
        <w:tblPrEx>
          <w:tblCellMar>
            <w:top w:w="0" w:type="dxa"/>
            <w:left w:w="108" w:type="dxa"/>
            <w:bottom w:w="0" w:type="dxa"/>
            <w:right w:w="108" w:type="dxa"/>
          </w:tblCellMar>
        </w:tblPrEx>
        <w:trPr>
          <w:trHeight w:val="780" w:hRule="atLeast"/>
          <w:jc w:val="center"/>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44735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46823</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25918</w:t>
            </w:r>
          </w:p>
        </w:tc>
      </w:tr>
      <w:tr>
        <w:tblPrEx>
          <w:tblCellMar>
            <w:top w:w="0" w:type="dxa"/>
            <w:left w:w="108" w:type="dxa"/>
            <w:bottom w:w="0" w:type="dxa"/>
            <w:right w:w="108" w:type="dxa"/>
          </w:tblCellMar>
        </w:tblPrEx>
        <w:trPr>
          <w:trHeight w:val="780"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26341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27488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16013</w:t>
            </w:r>
          </w:p>
        </w:tc>
      </w:tr>
      <w:tr>
        <w:tblPrEx>
          <w:tblCellMar>
            <w:top w:w="0" w:type="dxa"/>
            <w:left w:w="108" w:type="dxa"/>
            <w:bottom w:w="0" w:type="dxa"/>
            <w:right w:w="108" w:type="dxa"/>
          </w:tblCellMar>
        </w:tblPrEx>
        <w:trPr>
          <w:trHeight w:val="780"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r>
      <w:tr>
        <w:tblPrEx>
          <w:tblCellMar>
            <w:top w:w="0" w:type="dxa"/>
            <w:left w:w="108" w:type="dxa"/>
            <w:bottom w:w="0" w:type="dxa"/>
            <w:right w:w="108" w:type="dxa"/>
          </w:tblCellMar>
        </w:tblPrEx>
        <w:trPr>
          <w:trHeight w:val="780" w:hRule="atLeast"/>
          <w:jc w:val="center"/>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w:t>
            </w:r>
          </w:p>
        </w:tc>
      </w:tr>
    </w:tbl>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kern w:val="0"/>
          <w:sz w:val="28"/>
          <w:szCs w:val="28"/>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注：2012年四季度，国家统计局实施城乡一体化住户调查改革，统一了城乡居民收入名称、分类和统计标准。2015年起，上海发布新口径全市居民人均可支配收入以及分城乡常住居民人均可支配收入。</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一、统计范围</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上海住户调查对象为本市常住户，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多阶段随机抽样方法抽选一定规模的本市居民家庭进行调查，调查样本分布于全市16个区。</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二、采集渠道</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三、指标解释</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1、可支配收入  指调查户在调查期内获得的、可用于最终消费支出和储蓄的总和，即调查户可以用来自由支配的收入。可支配收入既包括现金，也包括实物收入。</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2、消费支出  指调查户用于满足家庭日常生活消费需要的全部支出，包括用于消费品的支出和用于服务性消费的支出。</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四、数据说明</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b/>
          <w:bCs/>
          <w:sz w:val="21"/>
          <w:szCs w:val="21"/>
          <w:lang w:val="en-US" w:eastAsia="zh-CN"/>
        </w:rPr>
      </w:pPr>
      <w:r>
        <w:rPr>
          <w:rFonts w:hint="eastAsia" w:ascii="楷体_GB2312" w:hAnsi="楷体_GB2312" w:eastAsia="楷体_GB2312" w:cs="楷体_GB2312"/>
          <w:b/>
          <w:bCs/>
          <w:sz w:val="21"/>
          <w:szCs w:val="21"/>
          <w:lang w:val="en-US" w:eastAsia="zh-CN"/>
        </w:rPr>
        <w:t>1、关于“人均”概念。住户调查中居民家庭收入和支出数据均为人均数，即全部被调查家庭的收入或支出总和除以相应的人口数（既包括有收入的人，也包括无收入的人）所得到的平均值。</w:t>
      </w:r>
    </w:p>
    <w:p>
      <w:pPr>
        <w:keepNext w:val="0"/>
        <w:keepLines w:val="0"/>
        <w:pageBreakBefore w:val="0"/>
        <w:widowControl w:val="0"/>
        <w:numPr>
          <w:numId w:val="0"/>
        </w:numPr>
        <w:kinsoku/>
        <w:wordWrap/>
        <w:overflowPunct/>
        <w:topLinePunct w:val="0"/>
        <w:autoSpaceDE/>
        <w:autoSpaceDN/>
        <w:bidi w:val="0"/>
        <w:adjustRightInd/>
        <w:snapToGrid/>
        <w:spacing w:line="320" w:lineRule="exact"/>
        <w:ind w:firstLine="421"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21"/>
          <w:szCs w:val="21"/>
          <w:lang w:val="en-US" w:eastAsia="zh-CN"/>
        </w:rPr>
        <w:t>2、抽样调查存在一定的抽样误差，请谨慎使用。</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E7DA3F1"/>
    <w:rsid w:val="93B3CF05"/>
    <w:rsid w:val="97ECBF87"/>
    <w:rsid w:val="A66CD984"/>
    <w:rsid w:val="D60F6980"/>
    <w:rsid w:val="EECF29AC"/>
    <w:rsid w:val="EF7199E3"/>
    <w:rsid w:val="EFEC2950"/>
    <w:rsid w:val="F64E606B"/>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pPr>
      <w:spacing w:beforeLines="0" w:afterLines="0"/>
    </w:pPr>
    <w:rPr>
      <w:rFonts w:hint="eastAsia" w:ascii="宋体" w:hAnsi="Courier New" w:eastAsia="宋体"/>
      <w:kern w:val="0"/>
      <w:sz w:val="21"/>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1</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2022-07-17T07:15:00Z</dcterms:created>
  <dc:creator>chengss</dc:creator>
  <cp:lastModifiedBy>kylin</cp:lastModifiedBy>
  <cp:lastPrinted>2018-07-22T01:17:00Z</cp:lastPrinted>
  <dcterms:modified xsi:type="dcterms:W3CDTF">2024-07-18T15:45:12Z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28B12F816BAC4EF01FE194662B014A0F</vt:lpwstr>
  </property>
</Properties>
</file>