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adjustRightInd w:val="0"/>
        <w:snapToGrid w:val="0"/>
        <w:spacing w:line="400" w:lineRule="exact"/>
        <w:ind w:firstLine="198"/>
        <w:jc w:val="center"/>
        <w:rPr>
          <w:rFonts w:ascii="仿宋_GB2312" w:eastAsia="仿宋_GB2312"/>
          <w:sz w:val="24"/>
          <w:szCs w:val="24"/>
        </w:rPr>
      </w:pPr>
    </w:p>
    <w:p>
      <w:pPr>
        <w:adjustRightInd w:val="0"/>
        <w:snapToGrid w:val="0"/>
        <w:spacing w:line="640" w:lineRule="exact"/>
        <w:ind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2022年度国有企业财务会计决算报表编制说明</w:t>
      </w:r>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bookmarkStart w:id="1" w:name="_GoBack"/>
      <w:bookmarkEnd w:id="1"/>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（一）国有及国有控股企业是指国有独资、国有控股或国有实际控制的企业。国有实际控制的企业是指国家或国有企业（单位）作为出资人之一，</w:t>
      </w:r>
      <w:r>
        <w:rPr>
          <w:rFonts w:ascii="仿宋_GB2312" w:hAnsi="仿宋" w:eastAsia="仿宋_GB2312"/>
          <w:sz w:val="24"/>
          <w:szCs w:val="24"/>
        </w:rPr>
        <w:t>虽未拥有多数股权，但对被投资企业拥有实际控制力的企业。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（二）企业化管理的事业单位是指执行《企业财务通则》和相关企业会计准则制度，实行企业化管理的报社、出版社等国有事业单位。</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rPr>
        <w:t>汇编范围企业户数情况表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表）、行政事业单位投资情况审核表（财企补</w:t>
      </w:r>
      <w:r>
        <w:rPr>
          <w:rFonts w:ascii="仿宋_GB2312" w:hAnsi="仿宋" w:eastAsia="仿宋_GB2312"/>
          <w:sz w:val="24"/>
          <w:szCs w:val="24"/>
        </w:rPr>
        <w:t>0</w:t>
      </w:r>
      <w:r>
        <w:rPr>
          <w:rFonts w:hint="eastAsia" w:ascii="仿宋_GB2312" w:hAnsi="仿宋" w:eastAsia="仿宋_GB2312"/>
          <w:sz w:val="24"/>
          <w:szCs w:val="24"/>
        </w:rPr>
        <w:t>7表）、企业期初数调整情况表（财企补08）、划转国有资本情况统计表（财企补09）。</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（1）中央企业（不论级次和所在地区）:“行政隶属关系代码”均填零，“部门标识代码”根据国家标准《中央党政机关、人民团体及其他机构名称代码》（GB/T4657—2009）编制。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2009）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根据国家标准《世界各国和地区名称代码》（GB/T2659－2000）和国家标准《中华人民共和国行政区划代码》（GB/T2260－2007）选择填列。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按照工信部、国家统计局、国家发展改革委和财政部联合发布的《关于印发中小企业划型标准规定的通知》（工信部联企业[2011]300号）、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经济类型: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中央企业厂办大集体是指各类中央企业（含国务院有关部门所属企业）批准并资助兴办的集体所有制企业。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中央下放企业厂办大集体是指中央下放的煤炭、有色、军工等企业批准并资助兴办的集体所有制企业。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地方企业厂办大集体指地方国有企业批准并资助兴办的集体所有制企业。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多地上市企业的股票类别和股票代码均须分别填列，股票代码以“；”做为分隔符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10.设立年份:指企业（单位）工商注册登记或批准成立的具体年份。</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11.上年企业代码:由本企业上一年度填报本套报表时，录入的“组织机构代码——本企业代码”和上年“报表类型码”共19位码组成。如为新报单位，此代码不填。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12.上报因素:反映企业连续上报情况，或以前年度未填报企业财务决算报表、从本年度起纳入企业财务决算报表填报范围的新报原因。具体标识含义如下: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13.报表类型码:指企业根据实际情况选择的报表类型码，具体包括: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14.执行会计准则情况代码：根据企业目前所执行的企业会计准则、《企业会计制度》等会计核算制度的实际情况填列。具体代码为: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15.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16.是否纳入国有资本经营预算:纳入中央国有资本经营预算实施范围的中央企业（即一级企业）选“1是”</w:t>
      </w:r>
      <w:r>
        <w:rPr>
          <w:rFonts w:hint="eastAsia" w:ascii="仿宋_GB2312" w:hAnsi="仿宋" w:eastAsia="仿宋_GB2312"/>
          <w:sz w:val="24"/>
          <w:szCs w:val="24"/>
          <w:lang w:eastAsia="zh-CN"/>
        </w:rPr>
        <w:t>，</w:t>
      </w:r>
      <w:r>
        <w:rPr>
          <w:rFonts w:hint="eastAsia" w:ascii="仿宋_GB2312" w:hAnsi="仿宋" w:eastAsia="仿宋_GB2312"/>
          <w:sz w:val="24"/>
          <w:szCs w:val="24"/>
        </w:rPr>
        <w:t>其他单位选“2否”。</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17.上交国有资本收益类别:纳入中央国有资本经营预算实施范围的中央企业（即一级企业）根据收益上交类型，选择1应交利润、2国有股股利及股息。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18.混合所有制企业：指本企业资本构成含有非公成分。非公成分包括除公司职工之外的自然人、民营企业、外资企业、投资基金等。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19.员工持股企业：指存在本企业职工持有本企业股权情况的企业。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20.文化企业:财政部科教文司履行出资人职能的文化企业选“1是”，其他单位选“2否”。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21.备用码:根据实际需要可自行规定填报内容。</w:t>
      </w:r>
    </w:p>
    <w:p>
      <w:pPr>
        <w:spacing w:line="440" w:lineRule="exact"/>
        <w:ind w:firstLine="480" w:firstLineChars="200"/>
        <w:rPr>
          <w:rFonts w:ascii="仿宋_GB2312" w:hAnsi="仿宋" w:eastAsia="仿宋_GB2312"/>
          <w:color w:val="FF0000"/>
          <w:sz w:val="24"/>
          <w:szCs w:val="24"/>
        </w:rPr>
      </w:pPr>
      <w:r>
        <w:rPr>
          <w:rFonts w:hint="eastAsia" w:ascii="仿宋_GB2312" w:hAnsi="宋体" w:eastAsia="仿宋_GB2312"/>
          <w:bCs/>
          <w:sz w:val="24"/>
          <w:szCs w:val="24"/>
        </w:rPr>
        <w:t>注：若企业为连续上报单位，则“统一社会信用代码”“隶属关系”“所在地区”“所属行业码”“企业规模”“经济类型”“组织形式”“设立年份”“报表类型码”等信息应与上年衔接。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应收保费”“△应收分保账款”“△应收分保准备金”“△买入返售金融资产”“△发放贷款和垫款”“△向中央银行借款”“△拆入资金”“△卖出回购金融资产款”“△吸收存款及同业存放”“△代理买卖证券款”“△代理承销证券款”“△应付手续费及佣金”“△应付分保账款”“△保险合同准备金”“△一般风险准备”等指标仅由</w:t>
      </w:r>
      <w:r>
        <w:rPr>
          <w:rFonts w:hint="eastAsia" w:ascii="仿宋_GB2312" w:hAnsi="仿宋" w:eastAsia="仿宋_GB2312" w:cs="宋体"/>
          <w:bCs/>
          <w:kern w:val="0"/>
          <w:sz w:val="24"/>
          <w:szCs w:val="24"/>
        </w:rPr>
        <w:t>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准备金:反映再保险分出人从事再保险业务确认的应收分保未到期责任准备金、以及应向再保险接受人摊回的保险责任准备金，应根据期末余额减去“坏账准备”科目中有关坏账准备期末余额后的净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 xml:space="preserve">13.其他应收款:企业应根据“应收利息”“应收股利”和“其他应收款”科目的期末余额合计数，减去“坏账准备”科目中相关坏账准备期末余额后的金额填列。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w:t>
      </w:r>
      <w:r>
        <w:rPr>
          <w:rFonts w:hint="eastAsia" w:ascii="仿宋_GB2312" w:hAnsi="仿宋" w:eastAsia="仿宋_GB2312"/>
          <w:bCs/>
          <w:sz w:val="24"/>
          <w:szCs w:val="24"/>
          <w:lang w:eastAsia="zh-CN"/>
        </w:rPr>
        <w:t>初始确认时</w:t>
      </w:r>
      <w:r>
        <w:rPr>
          <w:rFonts w:hint="eastAsia" w:ascii="仿宋_GB2312" w:hAnsi="仿宋" w:eastAsia="仿宋_GB2312"/>
          <w:bCs/>
          <w:sz w:val="24"/>
          <w:szCs w:val="24"/>
        </w:rPr>
        <w:t>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一年内到期的非流动资产:反映企业将于一年内到期的非流动资产项目金额，本项目应根据有关科目的期末余额填列。对于按照相关会计准则采用折旧（或摊销、折耗）方法进行后续计量的固定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除资金等金融类企业专用项目以外的其他流动资产。包括</w:t>
      </w:r>
      <w:r>
        <w:rPr>
          <w:rFonts w:hint="eastAsia" w:ascii="仿宋_GB2312" w:hAnsi="仿宋" w:eastAsia="仿宋_GB2312"/>
          <w:bCs/>
          <w:sz w:val="24"/>
          <w:szCs w:val="24"/>
          <w:lang w:eastAsia="zh-CN"/>
        </w:rPr>
        <w:t>初始确认时</w:t>
      </w:r>
      <w:r>
        <w:rPr>
          <w:rFonts w:hint="eastAsia" w:ascii="仿宋_GB2312" w:hAnsi="仿宋" w:eastAsia="仿宋_GB2312"/>
          <w:bCs/>
          <w:sz w:val="24"/>
          <w:szCs w:val="24"/>
        </w:rPr>
        <w:t>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31.在建工程: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33.油气资产:反映企业持有的矿区权益和油气井及相关设施的原价减去累计折耗和累计减值准备后的净额，应根据“油气资产”科目期末余额，减去“累计折耗”科目期末余额和相应减值准备后的净额填列。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40.其他非流动资产:反映企业除以上资产以外的其他长期资产。其中，特准储备物资主要反映企业按照国家和上级规定储备的用于防汛、战备等特定用途的物资年末结存成本，应单独列示。包括</w:t>
      </w:r>
      <w:r>
        <w:rPr>
          <w:rFonts w:hint="eastAsia" w:ascii="仿宋_GB2312" w:hAnsi="仿宋" w:eastAsia="仿宋_GB2312"/>
          <w:bCs/>
          <w:sz w:val="24"/>
          <w:szCs w:val="24"/>
          <w:lang w:eastAsia="zh-CN"/>
        </w:rPr>
        <w:t>初始确认时</w:t>
      </w:r>
      <w:r>
        <w:rPr>
          <w:rFonts w:hint="eastAsia" w:ascii="仿宋_GB2312" w:hAnsi="仿宋" w:eastAsia="仿宋_GB2312"/>
          <w:bCs/>
          <w:sz w:val="24"/>
          <w:szCs w:val="24"/>
        </w:rPr>
        <w:t>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合同负债:应根据“合同资产”、“合同负债”等科目的相关明细科目期末余额分析填列，同一合同下的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50.△吸收存款及同业存放:反映企业吸收的各种存款和境内、境外金融机构的存款，应根据“同业存放”“吸收存款”等科目的期末余额填列。仅由金融企业填报。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55.其他应付款:应根据“应付利息”“应付股利”和“其他应付款”科目的期末余额合计数填列。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56.△应付手续费及佣金:反映企业从事再保险业务应向再保险分出人或再保险接受人支付但尚未支付的款项，应根据相关科目的期末余额填列。仅由金融企业填报。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57.△应付分保账款:反映从事再保险业务应付未付的款项，应根据“应付分保账款”科目期末贷方余额填列。仅由金融企业填报。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58.持有待售负债:反映资产负债表中处置组中与划分为持有待售类别的资产直接相关的负债的期末账面价值，应根据“持有待售负债”科目的期末余额填列。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lang w:eastAsia="zh-CN"/>
        </w:rPr>
        <w:t>确认为预计负债且</w:t>
      </w:r>
      <w:r>
        <w:rPr>
          <w:rFonts w:hint="eastAsia" w:ascii="仿宋_GB2312" w:hAnsi="宋体" w:eastAsia="仿宋_GB2312"/>
          <w:bCs/>
          <w:sz w:val="24"/>
          <w:szCs w:val="24"/>
        </w:rPr>
        <w:t>在一年或一个正常营业周期内清偿</w:t>
      </w:r>
      <w:r>
        <w:rPr>
          <w:rFonts w:hint="eastAsia" w:ascii="仿宋_GB2312" w:hAnsi="宋体" w:eastAsia="仿宋_GB2312"/>
          <w:bCs/>
          <w:sz w:val="24"/>
          <w:szCs w:val="24"/>
          <w:lang w:eastAsia="zh-CN"/>
        </w:rPr>
        <w:t>的</w:t>
      </w:r>
      <w:r>
        <w:rPr>
          <w:rFonts w:hint="eastAsia" w:ascii="仿宋_GB2312" w:hAnsi="宋体" w:eastAsia="仿宋_GB2312"/>
          <w:bCs/>
          <w:sz w:val="24"/>
          <w:szCs w:val="24"/>
        </w:rPr>
        <w:t>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60.△保险合同准备金:反映企业提取的保险合同准备金，应根据“未到期责任准备金”“未决赔款准备金”科目期末贷方余额填列。仅由金融企业填报。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63.长期应付职工薪酬:反映企业辞退福利中将于资产负债表日起12个月之后支付的部分、离职后福利中设定</w:t>
      </w:r>
      <w:r>
        <w:rPr>
          <w:rFonts w:hint="eastAsia" w:ascii="仿宋_GB2312" w:hAnsi="仿宋" w:eastAsia="仿宋_GB2312"/>
          <w:bCs/>
          <w:sz w:val="24"/>
          <w:szCs w:val="24"/>
          <w:lang w:eastAsia="zh-CN"/>
        </w:rPr>
        <w:t>受</w:t>
      </w:r>
      <w:r>
        <w:rPr>
          <w:rFonts w:hint="eastAsia" w:ascii="仿宋_GB2312" w:hAnsi="仿宋" w:eastAsia="仿宋_GB2312"/>
          <w:bCs/>
          <w:sz w:val="24"/>
          <w:szCs w:val="24"/>
        </w:rPr>
        <w:t>益计划净负债、其他长期职工福利中符合设定</w:t>
      </w:r>
      <w:r>
        <w:rPr>
          <w:rFonts w:hint="eastAsia" w:ascii="仿宋_GB2312" w:hAnsi="仿宋" w:eastAsia="仿宋_GB2312"/>
          <w:bCs/>
          <w:sz w:val="24"/>
          <w:szCs w:val="24"/>
          <w:lang w:eastAsia="zh-CN"/>
        </w:rPr>
        <w:t>受</w:t>
      </w:r>
      <w:r>
        <w:rPr>
          <w:rFonts w:hint="eastAsia" w:ascii="仿宋_GB2312" w:hAnsi="仿宋" w:eastAsia="仿宋_GB2312"/>
          <w:bCs/>
          <w:sz w:val="24"/>
          <w:szCs w:val="24"/>
        </w:rPr>
        <w:t>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64.预计负债:反映企业各项预计的负债，包括对外提供担保、商业承兑票据贴现、未决诉讼、产品质量保证、重组义务、亏损合同和</w:t>
      </w:r>
      <w:r>
        <w:rPr>
          <w:rFonts w:hint="eastAsia" w:ascii="仿宋_GB2312" w:hAnsi="宋体" w:eastAsia="仿宋_GB2312"/>
          <w:bCs/>
          <w:sz w:val="24"/>
          <w:szCs w:val="24"/>
          <w:lang w:eastAsia="zh-CN"/>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（2）国有法人资本:指具有独立法人地位的国有企业（单位）或国有独资公司对企业投资形成的资本金。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70.其他权益工具:反映企业发行的除普通股以外分类为权益工具的金融工具的账面价值。</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74.专项储备:反映高危行业企业按照国家规定提取的安全生产费的期末余额。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77.未分配利润:反映尚未分配的利润，未弥补的亏损，在本项目内以“-”填列。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78.*少数股东权益:反映除母公司以外的其他投资者在子公司中拥有的权益数额。本项目仅在合并报表中列示。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融出资金</w:t>
            </w:r>
            <w:r>
              <w:rPr>
                <w:rStyle w:val="29"/>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16行≥17行；19行≥（20+21）行（合理性）；26行=（2+3+……+15+16+18+19+22+……+25）行；</w:t>
      </w:r>
      <w:r>
        <w:rPr>
          <w:rFonts w:hint="eastAsia" w:ascii="仿宋_GB2312" w:hAnsi="宋体" w:eastAsia="仿宋_GB2312"/>
          <w:bCs/>
          <w:sz w:val="24"/>
          <w:szCs w:val="24"/>
        </w:rPr>
        <w:t>38行≥39行-40行-41行；</w:t>
      </w:r>
      <w:r>
        <w:rPr>
          <w:rFonts w:hint="eastAsia" w:ascii="仿宋_GB2312" w:hAnsi="仿宋" w:eastAsia="仿宋_GB2312"/>
          <w:bCs/>
          <w:sz w:val="24"/>
          <w:szCs w:val="24"/>
        </w:rPr>
        <w:t>51行≥52行；53行=（28+……+38+42+……+51）行；74行=（26+53）行；90行≥（91+92）行；92行≥93行；94行≥95行（合理性）；96行≥97行；103行=（76+……+90+94+96+98+……+102）行；107行≥（108+109）行；116行≥117行；118行=（105+106+107+110+……+116）行；119行=（103+118）行；121行=（122+……+126）行；若封面组织形式为11或21，且封面“报表类型码”为0或2或3或4或5，则121行期末余额=122行期末余额；若封面组织形式为15，且封面“报表类型码”为0或2或3或4或5，则121行期末余额=123行期末余额；128行=（121-127）行；129行≥（130+131）行；137行≥（138+139+140+141+142）行；145行=（128+129+132-133+134+136+137+143+144）行；147行=（145+146）行；148行=（119+147）行；148行=74行；若封面“上报因素”为0或5或6或7或9，则74行年初金额&gt;0（合理性）；若封面“报表类型码”为0或2或3或4或5，则146行=0（合理性）；若“报表类型码”为0或3或4或5，则3行=0、4行=0、12行=0、13行=0、14行=0、18行=0、28行=0、77行=0、78行=0、86行=0、87行=0、88行=0、89行=0、98行=0、99行=0、105行=0、143行=0。</w:t>
      </w:r>
      <w:r>
        <w:rPr>
          <w:rFonts w:hint="eastAsia" w:ascii="仿宋_GB2312" w:hAnsi="宋体" w:eastAsia="仿宋_GB2312"/>
          <w:bCs/>
          <w:sz w:val="24"/>
          <w:szCs w:val="24"/>
        </w:rPr>
        <w:t>若封面“报表类型码”为0或2或3或4或5，且封面“执行新准则”中是否执行新金融工具准则为2，则5行=0、10行=0、2</w:t>
      </w:r>
      <w:r>
        <w:rPr>
          <w:rFonts w:hint="eastAsia" w:ascii="仿宋_GB2312" w:hAnsi="宋体"/>
          <w:bCs/>
          <w:sz w:val="24"/>
          <w:szCs w:val="24"/>
        </w:rPr>
        <w:t>9</w:t>
      </w:r>
      <w:r>
        <w:rPr>
          <w:rFonts w:hint="eastAsia" w:ascii="仿宋_GB2312" w:hAnsi="宋体" w:eastAsia="仿宋_GB2312"/>
          <w:bCs/>
          <w:sz w:val="24"/>
          <w:szCs w:val="24"/>
        </w:rPr>
        <w:t>行=0、</w:t>
      </w:r>
      <w:r>
        <w:rPr>
          <w:rFonts w:hint="eastAsia" w:ascii="仿宋_GB2312" w:hAnsi="宋体"/>
          <w:bCs/>
          <w:sz w:val="24"/>
          <w:szCs w:val="24"/>
        </w:rPr>
        <w:t>31</w:t>
      </w:r>
      <w:r>
        <w:rPr>
          <w:rFonts w:hint="eastAsia" w:ascii="仿宋_GB2312" w:hAnsi="宋体" w:eastAsia="仿宋_GB2312"/>
          <w:bCs/>
          <w:sz w:val="24"/>
          <w:szCs w:val="24"/>
        </w:rPr>
        <w:t>行=0、3</w:t>
      </w:r>
      <w:r>
        <w:rPr>
          <w:rFonts w:hint="eastAsia" w:ascii="仿宋_GB2312" w:hAnsi="宋体"/>
          <w:bCs/>
          <w:sz w:val="24"/>
          <w:szCs w:val="24"/>
        </w:rPr>
        <w:t>5</w:t>
      </w:r>
      <w:r>
        <w:rPr>
          <w:rFonts w:hint="eastAsia" w:ascii="仿宋_GB2312" w:hAnsi="宋体" w:eastAsia="仿宋_GB2312"/>
          <w:bCs/>
          <w:sz w:val="24"/>
          <w:szCs w:val="24"/>
        </w:rPr>
        <w:t>行=0、3</w:t>
      </w:r>
      <w:r>
        <w:rPr>
          <w:rFonts w:hint="eastAsia" w:ascii="仿宋_GB2312" w:hAnsi="宋体"/>
          <w:bCs/>
          <w:sz w:val="24"/>
          <w:szCs w:val="24"/>
        </w:rPr>
        <w:t>6</w:t>
      </w:r>
      <w:r>
        <w:rPr>
          <w:rFonts w:hint="eastAsia" w:ascii="仿宋_GB2312" w:hAnsi="宋体" w:eastAsia="仿宋_GB2312"/>
          <w:bCs/>
          <w:sz w:val="24"/>
          <w:szCs w:val="24"/>
        </w:rPr>
        <w:t>行=0、7</w:t>
      </w:r>
      <w:r>
        <w:rPr>
          <w:rFonts w:hint="eastAsia" w:ascii="仿宋_GB2312" w:hAnsi="宋体"/>
          <w:bCs/>
          <w:sz w:val="24"/>
          <w:szCs w:val="24"/>
        </w:rPr>
        <w:t>9</w:t>
      </w:r>
      <w:r>
        <w:rPr>
          <w:rFonts w:hint="eastAsia" w:ascii="仿宋_GB2312" w:hAnsi="宋体" w:eastAsia="仿宋_GB2312"/>
          <w:bCs/>
          <w:sz w:val="24"/>
          <w:szCs w:val="24"/>
        </w:rPr>
        <w:t>行=0；若封面“报表类型码”为0或2或3或4或5，且封面“执行新准则”中是否执行新金融工具准则为1，则6行=0、30行=0、3</w:t>
      </w:r>
      <w:r>
        <w:rPr>
          <w:rFonts w:hint="eastAsia" w:ascii="仿宋_GB2312" w:hAnsi="宋体"/>
          <w:bCs/>
          <w:sz w:val="24"/>
          <w:szCs w:val="24"/>
        </w:rPr>
        <w:t>2</w:t>
      </w:r>
      <w:r>
        <w:rPr>
          <w:rFonts w:hint="eastAsia" w:ascii="仿宋_GB2312" w:hAnsi="宋体" w:eastAsia="仿宋_GB2312"/>
          <w:bCs/>
          <w:sz w:val="24"/>
          <w:szCs w:val="24"/>
        </w:rPr>
        <w:t>行=0、</w:t>
      </w:r>
      <w:r>
        <w:rPr>
          <w:rFonts w:hint="eastAsia" w:ascii="仿宋_GB2312" w:hAnsi="宋体"/>
          <w:bCs/>
          <w:sz w:val="24"/>
          <w:szCs w:val="24"/>
        </w:rPr>
        <w:t>80</w:t>
      </w:r>
      <w:r>
        <w:rPr>
          <w:rFonts w:hint="eastAsia" w:ascii="仿宋_GB2312" w:hAnsi="宋体" w:eastAsia="仿宋_GB2312"/>
          <w:bCs/>
          <w:sz w:val="24"/>
          <w:szCs w:val="24"/>
        </w:rPr>
        <w:t>行=0。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hint="eastAsia" w:ascii="仿宋_GB2312" w:hAnsi="仿宋" w:eastAsia="仿宋_GB2312"/>
          <w:bCs/>
          <w:sz w:val="24"/>
          <w:szCs w:val="24"/>
          <w:lang w:val="en-US" w:eastAsia="zh-CN"/>
        </w:rPr>
      </w:pPr>
      <w:r>
        <w:rPr>
          <w:rFonts w:hint="eastAsia" w:ascii="仿宋_GB2312" w:hAnsi="仿宋" w:eastAsia="仿宋_GB2312"/>
          <w:sz w:val="24"/>
          <w:szCs w:val="24"/>
        </w:rPr>
        <w:t>2.</w:t>
      </w:r>
      <w:r>
        <w:rPr>
          <w:rFonts w:hint="eastAsia" w:ascii="仿宋_GB2312" w:hAnsi="仿宋" w:eastAsia="仿宋_GB2312"/>
          <w:bCs/>
          <w:sz w:val="24"/>
          <w:szCs w:val="24"/>
        </w:rPr>
        <w:t>表内“△利息收入”“△已赚保费”“△手续费及佣金收入”“△利息支出”“△手续费及佣金支出”“△退保金”“△赔付支出净额”“△提取保险责任准备金净额”“△保单红利支出”“△分保费用”“△汇兑收益”为金融企业专用，其他企业不填。</w:t>
      </w:r>
      <w:r>
        <w:rPr>
          <w:rFonts w:hint="eastAsia" w:ascii="仿宋_GB2312" w:hAnsi="仿宋" w:eastAsia="仿宋_GB2312"/>
          <w:bCs/>
          <w:sz w:val="24"/>
          <w:szCs w:val="24"/>
          <w:lang w:val="en-US" w:eastAsia="zh-CN"/>
        </w:rPr>
        <w:t xml:space="preserve">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1.营业总收入:包括营业收入、△利息收入、△已赚保费和△手续费及佣金收入四部分内容。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3.△利息收入:反映企业经营贷款业务等确认的利息收入，应根据“利息收入”科目的发生额分析填列。仅由金融企业填报。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4.△已赚保费:反映“保险业务收入”项目金额减去“分出保费”“提取未到期责任准备金”项目金额后的余额。仅由金融企业填报。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营业总成本:包括营业成本、△利息支出、△手续费及佣金支出、△退保金、△赔付支出净额、△提取保险合同准备金净额、△保单红利支出、△分保费用、税金及附加、销售费用、管理费用、研发费用、财务费用和其他共十四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10.△退保金:反映企业寿险原保险合同提前解除时按照约定退还投保人的保单现金价值，应根据“退保金”科目的发生额分析填列。仅由金融企业填报。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11.△赔付支出净额:反映企业支付的原保险合同赔付款项和再保险合同赔付款项。仅由金融企业填报。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12.△提取保险责任准备金净额:反映企业提取的保险责任准备金，包括未决赔款准备金、寿险责任准备金、长期健康险责任准备金，应根据“提取保险责任准备金”科目的发生额分析填列。仅由金融企业填报。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13.△保单红利支出:反映企业按原保险合同约定支付给投保人的红利。仅由金融企业填报。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14.△分保费用:反映企业从事再保险业务支付的分保费用，依据“分保费用”扣减“摊回分保费用”的净额填列。仅由金融企业填报。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17.研发费用:反映企业进行研究与开发过程中发生的费用化支出，以及计入管理费用的自行开发无形资产的摊销。</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19</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20.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22.△汇兑收益:反映企业外币货币性项目因汇率变动形成的净收益，应根据“汇兑损益”科目的发生额分析填列。如为净损失以“-”号列示。仅由金融企业填列。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25.信用减值损失:反映企业按照《企业会计准则第22号——金融工具确认和计量》的要求计提的各项金融工具减值准备所形成的预期信用损失，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26.资产减值损失: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27.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w:t>
      </w:r>
      <w:r>
        <w:rPr>
          <w:rFonts w:hint="eastAsia" w:ascii="仿宋_GB2312" w:hAnsi="仿宋" w:eastAsia="仿宋_GB2312"/>
          <w:bCs/>
          <w:sz w:val="24"/>
          <w:szCs w:val="24"/>
          <w:lang w:eastAsia="zh-CN"/>
        </w:rPr>
        <w:t>转</w:t>
      </w:r>
      <w:r>
        <w:rPr>
          <w:rFonts w:hint="eastAsia" w:ascii="仿宋_GB2312" w:hAnsi="仿宋" w:eastAsia="仿宋_GB2312"/>
          <w:bCs/>
          <w:sz w:val="24"/>
          <w:szCs w:val="24"/>
        </w:rPr>
        <w:t>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抬起损益的有效部分）、外币财务报表折算差额。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33.综合收益总额:反映企业除与所有者以其所有者身份进行的交易之外的其他交易或事项所引起所有者权益变动。综合收益总额项目反映净利润和其他综合收益扣除所得税影响后的净额相加后的合计金额。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cs="宋体"/>
          <w:bCs/>
          <w:kern w:val="0"/>
          <w:sz w:val="24"/>
          <w:szCs w:val="24"/>
        </w:rPr>
        <w:t>1行=（2+3+4+5）行；6行=（7+……+19+23）行；19行≥（20-21+22）行（合理性）；25行≥（26+27）行（合理性）；34行=（1-6+24+25+28+29+30+31+32+33）行；35行≥36行；38行=（34+35-37）行；40行=（38-39）行=(42+43)行=(45+46)行；47行=（48+65）行；48行=（49+55）行；49行=（50+……+54）行；55行=（56+……+64）行；66行=（40+47）行=（67+68）行；67行=（42+48）行；68行=（43+65）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则70行与71行不为0（合理性）；</w:t>
      </w:r>
      <w:r>
        <w:rPr>
          <w:rFonts w:hint="eastAsia" w:ascii="仿宋_GB2312" w:hAnsi="宋体" w:eastAsia="仿宋_GB2312"/>
          <w:bCs/>
          <w:sz w:val="24"/>
          <w:szCs w:val="24"/>
        </w:rPr>
        <w:t>若70行、71行不为0，则封面“组织形式”为13，且“股票代码”不为空（合理性）；</w:t>
      </w:r>
      <w:r>
        <w:rPr>
          <w:rFonts w:hint="eastAsia" w:ascii="仿宋_GB2312" w:hAnsi="仿宋" w:eastAsia="仿宋_GB2312" w:cs="宋体"/>
          <w:bCs/>
          <w:kern w:val="0"/>
          <w:sz w:val="24"/>
          <w:szCs w:val="24"/>
        </w:rPr>
        <w:t>若封面“报表类型码”为0或2或3或4或5，43行=0、65行=0、68行=0（合理性）；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27</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29行=0、31</w:t>
      </w:r>
      <w:r>
        <w:rPr>
          <w:rFonts w:hint="eastAsia" w:ascii="仿宋_GB2312" w:hAnsi="宋体" w:eastAsia="仿宋_GB2312"/>
          <w:bCs/>
          <w:sz w:val="24"/>
          <w:szCs w:val="24"/>
        </w:rPr>
        <w:t>行=0、</w:t>
      </w:r>
      <w:r>
        <w:rPr>
          <w:rFonts w:hint="eastAsia" w:ascii="仿宋_GB2312" w:hAnsi="宋体"/>
          <w:bCs/>
          <w:sz w:val="24"/>
          <w:szCs w:val="24"/>
        </w:rPr>
        <w:t>52</w:t>
      </w:r>
      <w:r>
        <w:rPr>
          <w:rFonts w:hint="eastAsia" w:ascii="仿宋_GB2312" w:hAnsi="宋体" w:eastAsia="仿宋_GB2312"/>
          <w:bCs/>
          <w:sz w:val="24"/>
          <w:szCs w:val="24"/>
        </w:rPr>
        <w:t>行=0、</w:t>
      </w:r>
      <w:r>
        <w:rPr>
          <w:rFonts w:hint="eastAsia" w:ascii="仿宋_GB2312" w:hAnsi="宋体"/>
          <w:bCs/>
          <w:sz w:val="24"/>
          <w:szCs w:val="24"/>
        </w:rPr>
        <w:t>53</w:t>
      </w:r>
      <w:r>
        <w:rPr>
          <w:rFonts w:hint="eastAsia" w:ascii="仿宋_GB2312" w:hAnsi="宋体" w:eastAsia="仿宋_GB2312"/>
          <w:bCs/>
          <w:sz w:val="24"/>
          <w:szCs w:val="24"/>
        </w:rPr>
        <w:t>行=0、</w:t>
      </w:r>
      <w:r>
        <w:rPr>
          <w:rFonts w:hint="eastAsia" w:ascii="仿宋_GB2312" w:hAnsi="宋体"/>
          <w:bCs/>
          <w:sz w:val="24"/>
          <w:szCs w:val="24"/>
        </w:rPr>
        <w:t>57</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61</w:t>
      </w:r>
      <w:r>
        <w:rPr>
          <w:rFonts w:hint="eastAsia" w:ascii="仿宋_GB2312" w:hAnsi="宋体" w:eastAsia="仿宋_GB2312"/>
          <w:bCs/>
          <w:sz w:val="24"/>
          <w:szCs w:val="24"/>
        </w:rPr>
        <w:t>行=0；若封面“报表类型码”为0或2或3或4或5，且封面“执行新准则”中是否执行新金融工具准则为1，则58行=0、</w:t>
      </w:r>
      <w:r>
        <w:rPr>
          <w:rFonts w:hint="eastAsia" w:ascii="仿宋_GB2312" w:hAnsi="宋体"/>
          <w:bCs/>
          <w:sz w:val="24"/>
          <w:szCs w:val="24"/>
        </w:rPr>
        <w:t>60</w:t>
      </w:r>
      <w:r>
        <w:rPr>
          <w:rFonts w:hint="eastAsia" w:ascii="仿宋_GB2312" w:hAnsi="宋体" w:eastAsia="仿宋_GB2312"/>
          <w:bCs/>
          <w:sz w:val="24"/>
          <w:szCs w:val="24"/>
        </w:rPr>
        <w:t>行=0；若封面“报表类型码”不为1，则3行≥0、8行≥0（合理性）；20行≥0、21行≥0（合理性）；若封面“报表类型”不为1或9，且封面“行业分类与代码”不为0700下属明细项目，则23行=0；</w:t>
      </w:r>
      <w:r>
        <w:rPr>
          <w:rFonts w:hint="eastAsia" w:ascii="仿宋_GB2312" w:hAnsi="仿宋" w:eastAsia="仿宋_GB2312" w:cs="宋体"/>
          <w:bCs/>
          <w:kern w:val="0"/>
          <w:sz w:val="24"/>
          <w:szCs w:val="24"/>
        </w:rPr>
        <w:t>若“报表类型码”为0或3或4或5，则3行=0、4行=0、5行=0、8行=0、9行=0、10行=0、11行=0、12行=0、13行=0、14行=0、28行=0（合理性）。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6.△收到再保业务现金净额:反映保险公司本期从事再保险业务实际收支的现金净额。仅由金融企业填报。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保户储金及投资款净增加额:反映保险公司向投保人收取的以储金利息作为保费收入的储金，以及以投资收益作为保费收入的投资保障性保险业务的投资本金，减去保险公司向投保人返还的储金和投资本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13.收到的税费返还:反映企业收到返还的增值税、消费税、所得税等各种税费。本项目可根据“库存现金”“银行存款”“税金及附加”“营业外收入”“其他应收款”等</w:t>
      </w:r>
      <w:r>
        <w:rPr>
          <w:rFonts w:hint="eastAsia" w:ascii="仿宋_GB2312" w:hAnsi="仿宋" w:eastAsia="仿宋_GB2312"/>
          <w:bCs/>
          <w:sz w:val="24"/>
          <w:szCs w:val="24"/>
          <w:lang w:eastAsia="zh-CN"/>
        </w:rPr>
        <w:t>科</w:t>
      </w:r>
      <w:r>
        <w:rPr>
          <w:rFonts w:hint="eastAsia" w:ascii="仿宋_GB2312" w:hAnsi="仿宋" w:eastAsia="仿宋_GB2312"/>
          <w:bCs/>
          <w:sz w:val="24"/>
          <w:szCs w:val="24"/>
        </w:rPr>
        <w:t>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支出”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18.△支付原保险合同赔付款项的现金:反映保险公司本期实际支付原保险合同赔付的现金。仅由金融企业填报。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21.△支付保单红利的现金:反映保险公司本期支付保单红利所支付的现金。仅由金融企业填报。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24.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28.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29.收到其他与投资活动有关的现金:反映企业除上述各项外，收到的其他与投资活动有关的现金流入。本项目可根据有关科目的记录分析填列。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32.△质押贷款净增加额:反映保险公司本期发放保户质押贷款的现金净额。仅由金融企业填报。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36.子公司吸收少数股东投资收到的现金:反映子公司以发行股票等方式筹集来自少数股东资金实际收到的款项净额。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43.汇率变动对现金及现金等价物的影响: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行=（2+3+……+15）行；27行=（17+18+……+26）行；28行=（16-27）行；35行=（30+31+……+34）行；41行=（36+37+……+40）行；42行=（35-41）行；44行≥45行；48行=（44+46+47）行；50行≥51行；53行=（49+50+52）行；54行=（48-53）行；56行=（28+42+54+55）行；58行=（56+57）行；57行本期金额=58行上期金额；若“报表类型码”为0或3或4或5，则3行=0、4行=0、5行=0、6行=0、7行=0、8行=0、9行=0、10行=0、11行=0、12行=0、13行=0、18行=0、19行=0、20行=0、21行=0、22行=0、23行=0、38行=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③盈余公积弥补亏损:反映企业以盈余公积弥补亏损的金额。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w:t>
      </w:r>
      <w:r>
        <w:rPr>
          <w:rFonts w:hint="eastAsia" w:ascii="仿宋_GB2312" w:hAnsi="仿宋" w:eastAsia="仿宋_GB2312"/>
          <w:bCs/>
          <w:sz w:val="24"/>
          <w:szCs w:val="24"/>
          <w:lang w:eastAsia="zh-CN"/>
        </w:rPr>
        <w:t>受</w:t>
      </w:r>
      <w:r>
        <w:rPr>
          <w:rFonts w:hint="eastAsia" w:ascii="仿宋_GB2312" w:hAnsi="仿宋" w:eastAsia="仿宋_GB2312"/>
          <w:bCs/>
          <w:sz w:val="24"/>
          <w:szCs w:val="24"/>
        </w:rPr>
        <w:t>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17行、18行、19行、20行、21行、22行、26行、27行、28行、29行、30行、31行、32行12栏、14栏、26栏、28栏=0（合理性）；32行12栏不为0，则32行（12+13）栏=0；32行26栏不为0，则32行（26+27）栏=0。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128行“期初余额”栏；5行第2栏=财企01表130行“期初余额”栏；5行第3栏=财企01表131行“期初余额”栏；5行第（2+3+4）栏=财企01表129行“期初余额”栏；5行第5栏=财企01表132行“期初余额”栏；5行第6栏=财企01表133行“期初余额”栏；5行第7栏=财企01表134行“期初余额”栏；5行第8栏=财企01表136行“期初余额”栏；5行第9栏=财企01表137行“期初余额”栏；5行第10栏=财企01表143行“期初余额”栏；5行第11栏=财企01表144行“期初余额”栏；5行第12栏=财企01表145行“期初余额”栏；5行第13栏=财企01表146行“期初余额”栏；5行第14栏=财企01表147行“期初余额”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2.33行第1栏=财企01表128行“期末余额”栏；33行第2栏=财企01表130行“期末余额”栏；33行第3栏=财企01表130行“期末余额”栏；33行第（2+3+4）栏=财企01表129行“期末余额”栏；33行第5栏=财企01表132行“期末余额”栏；33行第6栏=财企01表133行“期末余额”栏；33行第7栏=财企01表134行“期末余额”栏；33行第8栏=财企01表136行“期末余额”栏；33行第9栏=财企01表137行“期末余额”栏；33行第10栏=财企01表143行“期末余额”栏；33行第11栏=财企01表144行“期末余额”栏；33行第12栏=财企01表145行“期末余额”栏；33行第13栏=财企01表146行“期末余额”栏；33行第14栏=财企01表147行“期末余额”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行第7栏=财企02表48行“本期金额”栏；7行第11栏=财企02表42行“本期金额”栏；7行第12栏=财企02表67行“本期金额”栏；7行第13栏=财企02表68行“本期金额”栏；7行第14栏=财企02表66行“本期金额”栏；7行第21栏=财企02表48行“上期金额”栏；7行第25栏=财企02表42行“上期金额”栏；7行第26栏=财企02表67行“上期金额”栏；7行第27栏=财企02表68行“上期金额”栏；7行第28栏=财企02表66行“上期金额”栏。</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若封面“报表类型码”不为7，则</w:t>
      </w:r>
      <w:r>
        <w:rPr>
          <w:rFonts w:hint="eastAsia" w:ascii="仿宋_GB2312" w:hAnsi="宋体" w:eastAsia="仿宋_GB2312"/>
          <w:bCs/>
          <w:sz w:val="24"/>
          <w:szCs w:val="24"/>
        </w:rPr>
        <w:t>1行=企财01表〔（12</w:t>
      </w:r>
      <w:r>
        <w:rPr>
          <w:rFonts w:hint="eastAsia" w:ascii="仿宋_GB2312" w:hAnsi="宋体"/>
          <w:bCs/>
          <w:sz w:val="24"/>
          <w:szCs w:val="24"/>
        </w:rPr>
        <w:t>2</w:t>
      </w:r>
      <w:r>
        <w:rPr>
          <w:rFonts w:hint="eastAsia" w:ascii="仿宋_GB2312" w:hAnsi="宋体" w:eastAsia="仿宋_GB2312"/>
          <w:bCs/>
          <w:sz w:val="24"/>
          <w:szCs w:val="24"/>
        </w:rPr>
        <w:t>行+12</w:t>
      </w:r>
      <w:r>
        <w:rPr>
          <w:rFonts w:hint="eastAsia" w:ascii="仿宋_GB2312" w:hAnsi="宋体"/>
          <w:bCs/>
          <w:sz w:val="24"/>
          <w:szCs w:val="24"/>
        </w:rPr>
        <w:t>3</w:t>
      </w:r>
      <w:r>
        <w:rPr>
          <w:rFonts w:hint="eastAsia" w:ascii="仿宋_GB2312" w:hAnsi="宋体" w:eastAsia="仿宋_GB2312"/>
          <w:bCs/>
          <w:sz w:val="24"/>
          <w:szCs w:val="24"/>
        </w:rPr>
        <w:t>行）/1</w:t>
      </w:r>
      <w:r>
        <w:rPr>
          <w:rFonts w:hint="eastAsia" w:ascii="仿宋_GB2312" w:hAnsi="宋体"/>
          <w:bCs/>
          <w:sz w:val="24"/>
          <w:szCs w:val="24"/>
        </w:rPr>
        <w:t>21</w:t>
      </w:r>
      <w:r>
        <w:rPr>
          <w:rFonts w:hint="eastAsia" w:ascii="仿宋_GB2312" w:hAnsi="宋体" w:eastAsia="仿宋_GB2312"/>
          <w:bCs/>
          <w:sz w:val="24"/>
          <w:szCs w:val="24"/>
        </w:rPr>
        <w:t>行×14</w:t>
      </w:r>
      <w:r>
        <w:rPr>
          <w:rFonts w:hint="eastAsia" w:ascii="仿宋_GB2312" w:hAnsi="宋体"/>
          <w:bCs/>
          <w:sz w:val="24"/>
          <w:szCs w:val="24"/>
        </w:rPr>
        <w:t>5</w:t>
      </w:r>
      <w:r>
        <w:rPr>
          <w:rFonts w:hint="eastAsia" w:ascii="仿宋_GB2312" w:hAnsi="宋体" w:eastAsia="仿宋_GB2312"/>
          <w:bCs/>
          <w:sz w:val="24"/>
          <w:szCs w:val="24"/>
        </w:rPr>
        <w:t>行〕期初余额（合理性）；29行=企财01表〔（12</w:t>
      </w:r>
      <w:r>
        <w:rPr>
          <w:rFonts w:hint="eastAsia" w:ascii="仿宋_GB2312" w:hAnsi="宋体"/>
          <w:bCs/>
          <w:sz w:val="24"/>
          <w:szCs w:val="24"/>
        </w:rPr>
        <w:t>2</w:t>
      </w:r>
      <w:r>
        <w:rPr>
          <w:rFonts w:hint="eastAsia" w:ascii="仿宋_GB2312" w:hAnsi="宋体" w:eastAsia="仿宋_GB2312"/>
          <w:bCs/>
          <w:sz w:val="24"/>
          <w:szCs w:val="24"/>
        </w:rPr>
        <w:t>行+12</w:t>
      </w:r>
      <w:r>
        <w:rPr>
          <w:rFonts w:hint="eastAsia" w:ascii="仿宋_GB2312" w:hAnsi="宋体"/>
          <w:bCs/>
          <w:sz w:val="24"/>
          <w:szCs w:val="24"/>
        </w:rPr>
        <w:t>3</w:t>
      </w:r>
      <w:r>
        <w:rPr>
          <w:rFonts w:hint="eastAsia" w:ascii="仿宋_GB2312" w:hAnsi="宋体" w:eastAsia="仿宋_GB2312"/>
          <w:bCs/>
          <w:sz w:val="24"/>
          <w:szCs w:val="24"/>
        </w:rPr>
        <w:t>行）/1</w:t>
      </w:r>
      <w:r>
        <w:rPr>
          <w:rFonts w:hint="eastAsia" w:ascii="仿宋_GB2312" w:hAnsi="宋体"/>
          <w:bCs/>
          <w:sz w:val="24"/>
          <w:szCs w:val="24"/>
        </w:rPr>
        <w:t>21</w:t>
      </w:r>
      <w:r>
        <w:rPr>
          <w:rFonts w:hint="eastAsia" w:ascii="仿宋_GB2312" w:hAnsi="宋体" w:eastAsia="仿宋_GB2312"/>
          <w:bCs/>
          <w:sz w:val="24"/>
          <w:szCs w:val="24"/>
        </w:rPr>
        <w:t>行×14</w:t>
      </w:r>
      <w:r>
        <w:rPr>
          <w:rFonts w:hint="eastAsia" w:ascii="仿宋_GB2312" w:hAnsi="宋体"/>
          <w:bCs/>
          <w:sz w:val="24"/>
          <w:szCs w:val="24"/>
        </w:rPr>
        <w:t>5</w:t>
      </w:r>
      <w:r>
        <w:rPr>
          <w:rFonts w:hint="eastAsia" w:ascii="仿宋_GB2312" w:hAnsi="宋体" w:eastAsia="仿宋_GB2312"/>
          <w:bCs/>
          <w:sz w:val="24"/>
          <w:szCs w:val="24"/>
        </w:rPr>
        <w:t>行〕期末余额（合理性）。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5.持有待售资产减值准备:反映企业执行《企业会计准则第42号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6.债权投资减值准备:反映企业执行《企业会计准则第22号</w:t>
      </w:r>
      <w:r>
        <w:rPr>
          <w:rFonts w:hint="eastAsia" w:ascii="仿宋_GB2312" w:hAnsi="仿宋" w:eastAsia="仿宋_GB2312"/>
          <w:sz w:val="24"/>
          <w:szCs w:val="24"/>
        </w:rPr>
        <w:t>——</w:t>
      </w:r>
      <w:r>
        <w:rPr>
          <w:rFonts w:hint="eastAsia" w:ascii="仿宋_GB2312" w:hAnsi="仿宋" w:eastAsia="仿宋_GB2312"/>
          <w:bCs/>
          <w:sz w:val="24"/>
          <w:szCs w:val="24"/>
        </w:rPr>
        <w:t>融工具确认和计量》、《企业会计准则第8号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以预期信用损失为基础，对分类为以摊余成本计量的金融资产和以公允价值计量且其变动计入其他综合收益的金融资产进行会计处理并确认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7.☆可供出售金融资产减值准备:反映企业在期末对各项可供出售的金融资产进行全面检查，有客观证据表明该金融资产发生减值的，所计提的减值准备。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8.☆持有至到期投资减值准备:反映企业计提的持有至到期投资减值准备。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9.长期股权投资减值准备:反映企业按照可收回金额低于账面价值的差额计提的长期股权投资减值准备。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10.投资性房地产减值准备:投资性房地产分为采用成本模式计量和采用公允价值模式计量，投资性房地产减值准备科目是采用成本模式计量的后续计量，适用《企业会计准则第8号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11.固定资产减值准备:反映企业按照可收回金额低于账面价值的差额提取的固定资产减值准备。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12.在建工程减值准备:根据《企业会计准则第8号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13.生产性生物资产减值准备:反映企业执行《企业会计准则第5号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14.油气资产减值准备:反映企业执行《企业会计准则第27号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15.使用权资产减值准备：反映企业执行《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16.无形资产减值准备:反映企业按照可收回金额低于账面价值的差额计提的无形资产减值准备。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17.商誉减值准备:反映企业执行《企业会计准则第20号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18.其他减值准备:反映企业其他减值准备。金融企业计提的“△贷款减值准备”填列此处。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19.合并增加额、合并减少额:反映企业（集团）因合并范围变化而增加或减少的减值准备金额。因同一控制下企业合并增加的子公司，应调整合并期初数，不在本项目下反映。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13行1栏=财企01表4</w:t>
      </w:r>
      <w:r>
        <w:rPr>
          <w:rFonts w:ascii="仿宋_GB2312" w:hAnsi="仿宋" w:eastAsia="仿宋_GB2312"/>
          <w:bCs/>
          <w:sz w:val="24"/>
          <w:szCs w:val="24"/>
        </w:rPr>
        <w:t>1</w:t>
      </w:r>
      <w:r>
        <w:rPr>
          <w:rFonts w:hint="eastAsia" w:ascii="仿宋_GB2312" w:hAnsi="仿宋" w:eastAsia="仿宋_GB2312"/>
          <w:bCs/>
          <w:sz w:val="24"/>
          <w:szCs w:val="24"/>
        </w:rPr>
        <w:t>行“期初余额”栏；13行11栏=财企01表4</w:t>
      </w:r>
      <w:r>
        <w:rPr>
          <w:rFonts w:ascii="仿宋_GB2312" w:hAnsi="仿宋" w:eastAsia="仿宋_GB2312"/>
          <w:bCs/>
          <w:sz w:val="24"/>
          <w:szCs w:val="24"/>
        </w:rPr>
        <w:t>1</w:t>
      </w:r>
      <w:r>
        <w:rPr>
          <w:rFonts w:hint="eastAsia" w:ascii="仿宋_GB2312" w:hAnsi="仿宋" w:eastAsia="仿宋_GB2312"/>
          <w:bCs/>
          <w:sz w:val="24"/>
          <w:szCs w:val="24"/>
        </w:rPr>
        <w:t>行“期末余额”栏；21行10栏≥财企05表12行；若财企05表12行不为0，则21行6栏不为0；</w:t>
      </w:r>
      <w:r>
        <w:rPr>
          <w:rFonts w:hint="eastAsia" w:ascii="仿宋_GB2312" w:hAnsi="宋体" w:eastAsia="仿宋_GB2312"/>
          <w:bCs/>
          <w:sz w:val="24"/>
          <w:szCs w:val="24"/>
        </w:rPr>
        <w:t>21行（2栏-6栏）=财企02表（31+32）行本期金额。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第33行反映企业本年度实际向境外（含港澳台地区）缴纳的税费金额。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5.本年应交税费总额:反映企业本年应交的增值税、消费税、资源税、城建税、烟叶税、关税、企业所得税、教育费附加、石油特别收益金及其他税费的合计总额。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6.本年实际上交税费总额:反映企业本年实际上交的增值税、消费税、资源税、城建税、烟叶税、关税、企业所得税、教育费附加、石油特别收益金及其他税费的合计总额。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实际支付补充养老保险（含年金）总额:反映企业本年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实际支付补充医疗保险总额:反映企业本年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10.本年实际缴纳境外税费总额:反映企业在境外（含港澳台地区）实际缴纳的税费总额。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本表主要反映企业本年高质量发展、产值、投资收益、固定资产投资、固定资产折旧、环境保护及生态恢复支出、捐赠、工业总产值、劳动总产值、社会贡献总额等情况。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（3）科技人员:反映直接从事科技活动以及专门从事科技活动管理和为科技活动提供直接服务，累计从事科技活动的实际工作时间占全年制度工作时间10%及以上的人员。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4.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1"/>
        <w:spacing w:line="440" w:lineRule="exact"/>
        <w:ind w:firstLine="480"/>
        <w:rPr>
          <w:rFonts w:ascii="仿宋_GB2312" w:hAnsi="宋体" w:eastAsia="仿宋_GB2312"/>
          <w:bCs/>
          <w:sz w:val="24"/>
          <w:szCs w:val="24"/>
        </w:rPr>
      </w:pPr>
      <w:r>
        <w:rPr>
          <w:rFonts w:hint="eastAsia" w:ascii="仿宋_GB2312" w:hAnsi="仿宋" w:eastAsia="仿宋_GB2312"/>
          <w:bCs/>
          <w:sz w:val="24"/>
          <w:szCs w:val="24"/>
        </w:rPr>
        <w:t>5.本年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1"/>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1"/>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6.工业总产值:按报告期内实际销售价格计算的工业产品总量。仅由工业企业填列。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rPr>
        <w:t>7.劳动生产总值:</w:t>
      </w:r>
      <w:r>
        <w:rPr>
          <w:rFonts w:hint="eastAsia" w:ascii="仿宋_GB2312" w:hAnsi="仿宋" w:eastAsia="仿宋_GB2312"/>
          <w:bCs/>
          <w:color w:val="000000"/>
          <w:sz w:val="24"/>
          <w:szCs w:val="24"/>
        </w:rPr>
        <w:t>指各种生产活动所创造的新增价值，按照收入法即由劳动者报酬、生产税净额、固定资产折旧和营业盈余四个部分组成。各部分与会计指标的基本对应关系如下: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净额:指生产税扣除生产补贴后的净额。其中，生产税主要包括:本年应交的增值税、税金及附加等，参照“应交税费总额”减“应交企业所得税”口径。扣除的生产补贴主要包括:储备粮油价差款、预算弥补亏损及补贴和企业的出口退税。</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固定资产折旧:指企业本年提取的固定资产、使用权资产、油气资产、生产性生物资产、投资性房地产折旧。</w:t>
      </w:r>
    </w:p>
    <w:p>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w:t>
      </w:r>
      <w:r>
        <w:rPr>
          <w:rFonts w:hint="eastAsia" w:ascii="仿宋_GB2312" w:hAnsi="仿宋" w:eastAsia="仿宋_GB2312"/>
          <w:bCs/>
          <w:color w:val="000000"/>
          <w:sz w:val="24"/>
          <w:szCs w:val="24"/>
          <w:lang w:eastAsia="zh-CN"/>
        </w:rPr>
        <w:t>在营业外收入中列示的</w:t>
      </w:r>
      <w:r>
        <w:rPr>
          <w:rFonts w:hint="eastAsia" w:ascii="仿宋_GB2312" w:hAnsi="仿宋" w:eastAsia="仿宋_GB2312"/>
          <w:bCs/>
          <w:color w:val="000000"/>
          <w:sz w:val="24"/>
          <w:szCs w:val="24"/>
        </w:rPr>
        <w:t>政府补助。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社会贡献总额:反映企业工资、劳保退休统筹、其他社会福利支出、利息支出、应交增值税、应交销售税金及附加、应交所得税、关税、其他税收、净利润和企业对外捐赠等。各部分与会计指标的基本对应关系如下:</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工资:反映企业本年度应发放的从业人员人工成本支出总额。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劳保退休统筹:反映企业在管理费用中列支的劳动保险费和失业保险费。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劳动保险费:反映企业离退休人员的养老金、价格补贴、离退休人员的医疗保险和工伤保险、职工退职金、6个月以上病假人员工资、职工死亡丧葬补助费、抚恤金、按规定支付给离退休干部的各项经费。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其他社会福利支出:反映企业的福利费、职工教育经费、工会经费、公益性捐赠等，但不包括盈余公积金中公益金部分。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利息支出:反映企业本年利息费用化和资本化支出金额，包括计入负债的永续债利息、优先股股利。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关税:反映企业在经营进出口业务中交纳和代为交纳的关税。</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其他税收:反映企业本年列支的印花税、土地使用税、车船牌照使用税和房产税以及其他新增税种等。</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对外捐赠:反映本年发生的救济性、公益性及其他社会公共福利事业等捐赠支出总额。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如为负数请填0。</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8行；5行≥7行≥8行；11行=（12+13+14）行；15行=（16+19+22）行；16行≥（17+18）行；19行≥（20+21）行；23行≥24行；25行≥（26+27+28+29+30+31+32）行；33行=（34+35+36）行；38行≥（39+40+41）行。若封面“报表类型码”为0或2或3或4或5，且封面“执行新准则”中是否执行新金融工具准则为2,则27行=0、28行=0、29行=0、30行=0、31行=0。</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9行“本年数”栏=财企04表14行第14栏；10行“本年数”栏=0-财企04表15行第14栏（合理性）；25行=财企02表25行；</w:t>
      </w:r>
      <w:r>
        <w:rPr>
          <w:rFonts w:ascii="仿宋_GB2312" w:hAnsi="仿宋" w:eastAsia="仿宋_GB2312"/>
          <w:bCs/>
          <w:sz w:val="24"/>
          <w:szCs w:val="24"/>
        </w:rPr>
        <w:t>49</w:t>
      </w:r>
      <w:r>
        <w:rPr>
          <w:rFonts w:hint="eastAsia" w:ascii="仿宋_GB2312" w:hAnsi="仿宋" w:eastAsia="仿宋_GB2312"/>
          <w:bCs/>
          <w:sz w:val="24"/>
          <w:szCs w:val="24"/>
        </w:rPr>
        <w:t>行“本年数”栏=财企09表29行“本年数”+财企08表37行“本年数”+财企02表（34+36）行“本期金额”栏+财企07表(</w:t>
      </w:r>
      <w:r>
        <w:rPr>
          <w:rFonts w:hint="eastAsia" w:ascii="仿宋_GB2312" w:hAnsi="宋体" w:eastAsia="仿宋_GB2312"/>
          <w:bCs/>
          <w:color w:val="000000"/>
          <w:sz w:val="24"/>
          <w:szCs w:val="24"/>
        </w:rPr>
        <w:t>1行应交数-10行应交数-21行应交数-22行应补数-30行</w:t>
      </w:r>
      <w:r>
        <w:rPr>
          <w:rFonts w:hint="eastAsia" w:ascii="仿宋_GB2312" w:hAnsi="仿宋" w:eastAsia="仿宋_GB2312"/>
          <w:bCs/>
          <w:sz w:val="24"/>
          <w:szCs w:val="24"/>
        </w:rPr>
        <w:t>)； 5</w:t>
      </w:r>
      <w:r>
        <w:rPr>
          <w:rFonts w:ascii="仿宋_GB2312" w:hAnsi="仿宋" w:eastAsia="仿宋_GB2312"/>
          <w:bCs/>
          <w:sz w:val="24"/>
          <w:szCs w:val="24"/>
        </w:rPr>
        <w:t>0</w:t>
      </w:r>
      <w:r>
        <w:rPr>
          <w:rFonts w:hint="eastAsia" w:ascii="仿宋_GB2312" w:hAnsi="仿宋" w:eastAsia="仿宋_GB2312"/>
          <w:bCs/>
          <w:sz w:val="24"/>
          <w:szCs w:val="24"/>
        </w:rPr>
        <w:t>行≥财企09表（29+37）行+财企08表4</w:t>
      </w:r>
      <w:r>
        <w:rPr>
          <w:rFonts w:ascii="仿宋_GB2312" w:hAnsi="仿宋" w:eastAsia="仿宋_GB2312"/>
          <w:bCs/>
          <w:sz w:val="24"/>
          <w:szCs w:val="24"/>
        </w:rPr>
        <w:t>2</w:t>
      </w:r>
      <w:r>
        <w:rPr>
          <w:rFonts w:hint="eastAsia" w:ascii="仿宋_GB2312" w:hAnsi="仿宋" w:eastAsia="仿宋_GB2312"/>
          <w:bCs/>
          <w:sz w:val="24"/>
          <w:szCs w:val="24"/>
        </w:rPr>
        <w:t>行+财企02表40行+财企07表1行“应交数/应补数”栏+财企10表2</w:t>
      </w:r>
      <w:r>
        <w:rPr>
          <w:rFonts w:ascii="仿宋_GB2312" w:hAnsi="仿宋" w:eastAsia="仿宋_GB2312"/>
          <w:bCs/>
          <w:sz w:val="24"/>
          <w:szCs w:val="24"/>
        </w:rPr>
        <w:t>7</w:t>
      </w:r>
      <w:r>
        <w:rPr>
          <w:rFonts w:hint="eastAsia" w:ascii="仿宋_GB2312" w:hAnsi="仿宋" w:eastAsia="仿宋_GB2312"/>
          <w:bCs/>
          <w:sz w:val="24"/>
          <w:szCs w:val="24"/>
        </w:rPr>
        <w:t>行（合理性）；若通过数据计算得出“社会贡献总额”为负数，则“社会贡献总额”填列“0”。</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（6）本年平均劳务派遣人数:反映企业本年已履行劳务派遣合同全年实际提供就业人次（1人工作1天为1个就业人次）除以年制度工作日数（250天）计算填列。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根据中共中央办公厅、国务院办公厅转发的《关于积极推进企业退休人员社会化管理服务工作的意见》，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（4）本年支付的离退休人员养老金及福利性补助:反映企业本年度实际发放的离退休人员养老金及各项补助，不包括离退休人员通过社会保险经办机构领取的基本养老金以及企业支付给离退休人员的医药费。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2行≥5行+8行；4行≥5行；</w:t>
      </w:r>
      <w:r>
        <w:rPr>
          <w:rFonts w:hint="eastAsia" w:ascii="仿宋_GB2312" w:hAnsi="仿宋" w:eastAsia="仿宋_GB2312"/>
          <w:bCs/>
          <w:sz w:val="24"/>
          <w:szCs w:val="24"/>
        </w:rPr>
        <w:t>4行≥（5+23）行；4行≥12行；</w:t>
      </w:r>
      <w:r>
        <w:rPr>
          <w:rFonts w:hint="eastAsia" w:ascii="仿宋_GB2312" w:hAnsi="宋体" w:eastAsia="仿宋_GB2312"/>
          <w:bCs/>
          <w:kern w:val="0"/>
          <w:sz w:val="24"/>
          <w:szCs w:val="24"/>
        </w:rPr>
        <w:t>4行≥12行；4行≥13行；4行≥14行；4行≥15行；4行≥16行；4行≥17行；4行+10行+11行≥20行（合理性）；</w:t>
      </w:r>
      <w:r>
        <w:rPr>
          <w:rFonts w:hint="eastAsia" w:ascii="仿宋_GB2312" w:hAnsi="仿宋" w:eastAsia="仿宋_GB2312"/>
          <w:bCs/>
          <w:sz w:val="24"/>
          <w:szCs w:val="24"/>
        </w:rPr>
        <w:t>6行≥7行；</w:t>
      </w:r>
      <w:r>
        <w:rPr>
          <w:rFonts w:hint="eastAsia" w:ascii="仿宋_GB2312" w:hAnsi="宋体" w:eastAsia="仿宋_GB2312"/>
          <w:bCs/>
          <w:kern w:val="0"/>
          <w:sz w:val="24"/>
          <w:szCs w:val="24"/>
        </w:rPr>
        <w:t>若9行&gt;0，则33行&gt;0；10行本年数≤上年数;</w:t>
      </w:r>
      <w:r>
        <w:rPr>
          <w:rFonts w:hint="eastAsia" w:ascii="仿宋_GB2312" w:hAnsi="仿宋" w:eastAsia="仿宋_GB2312"/>
          <w:bCs/>
          <w:sz w:val="24"/>
          <w:szCs w:val="24"/>
        </w:rPr>
        <w:t>（10+11）行≥19行；24行≥25行；26行≥27行；</w:t>
      </w:r>
      <w:r>
        <w:rPr>
          <w:rFonts w:hint="eastAsia" w:ascii="仿宋_GB2312" w:hAnsi="宋体" w:eastAsia="仿宋_GB2312"/>
          <w:bCs/>
          <w:kern w:val="0"/>
          <w:sz w:val="24"/>
          <w:szCs w:val="24"/>
        </w:rPr>
        <w:t>若25行&gt;0，则26行&gt;0；若26行&gt;0，则25行&gt;0</w:t>
      </w:r>
      <w:r>
        <w:rPr>
          <w:rFonts w:hint="eastAsia" w:ascii="仿宋_GB2312" w:hAnsi="仿宋" w:eastAsia="仿宋_GB2312"/>
          <w:bCs/>
          <w:sz w:val="24"/>
          <w:szCs w:val="24"/>
        </w:rPr>
        <w:t>；30行≥（31+33）行；31行≥32行；34行≥（35+36）行；38行、39行不为负；</w:t>
      </w:r>
      <w:r>
        <w:rPr>
          <w:rFonts w:hint="eastAsia" w:ascii="仿宋_GB2312" w:hAnsi="宋体" w:eastAsia="仿宋_GB2312"/>
          <w:bCs/>
          <w:kern w:val="0"/>
          <w:sz w:val="24"/>
          <w:szCs w:val="24"/>
        </w:rPr>
        <w:t>若38行＞0，则39行＞0；若39行＞0，则38行＞0；若29行&gt;0，则3行&gt;0。</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16行“本年应交数/应补数”栏＞0，则12行＞0；若财企07表25行＞0，则13行＞0；若财企07表17行“本年应交数/应补数”栏＞0，则14行＞0；若财企07表26行“本年应交数/应补数”栏＞0，则15行＞0；若财企07表18行“本年应交数/应补数”栏＞0，则16行＞0；若财企07表19行“本年应交数/应补数”栏＞0，则17行＞0；若12行＞0，则财企07表16行“本年应交数/应补数”栏＞0；若13行＞0，则财企07表25行＞0；若14行＞0，则财企07表17行“本年应交数/应补数”栏＞0；若15行＞0，则财企07表26行“本年应交数/应补数”栏＞0；若16行＞0，则财企07表18行“本年应交数/应补数”栏＞0；若1</w:t>
      </w:r>
      <w:r>
        <w:rPr>
          <w:rFonts w:ascii="仿宋_GB2312" w:hAnsi="仿宋" w:eastAsia="仿宋_GB2312"/>
          <w:bCs/>
          <w:sz w:val="24"/>
          <w:szCs w:val="24"/>
        </w:rPr>
        <w:t>7</w:t>
      </w:r>
      <w:r>
        <w:rPr>
          <w:rFonts w:hint="eastAsia" w:ascii="仿宋_GB2312" w:hAnsi="仿宋" w:eastAsia="仿宋_GB2312"/>
          <w:bCs/>
          <w:sz w:val="24"/>
          <w:szCs w:val="24"/>
        </w:rPr>
        <w:t>行＞0，则财企07表1</w:t>
      </w:r>
      <w:r>
        <w:rPr>
          <w:rFonts w:ascii="仿宋_GB2312" w:hAnsi="仿宋" w:eastAsia="仿宋_GB2312"/>
          <w:bCs/>
          <w:sz w:val="24"/>
          <w:szCs w:val="24"/>
        </w:rPr>
        <w:t>9</w:t>
      </w:r>
      <w:r>
        <w:rPr>
          <w:rFonts w:hint="eastAsia" w:ascii="仿宋_GB2312" w:hAnsi="仿宋" w:eastAsia="仿宋_GB2312"/>
          <w:bCs/>
          <w:sz w:val="24"/>
          <w:szCs w:val="24"/>
        </w:rPr>
        <w:t>行“本年应交数/应补数”栏＞0。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本表主要反映企业（包括金融企业）各项带息负债本金情况。补充资料反映企业的带息负债成本情况、计入权益的融资情况以及境外发债情况。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8.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在集团合并报表少数股东权益列示的。表外融资的不填，不属于永续债、优先股、并表基金融资，未作为永续债、优先股、并表基金核算的不填，与会计核算保持一致。</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止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w:t>
      </w:r>
      <w:r>
        <w:rPr>
          <w:rFonts w:hint="eastAsia" w:ascii="仿宋_GB2312" w:hAnsi="宋体" w:eastAsia="仿宋_GB2312"/>
          <w:bCs/>
          <w:sz w:val="24"/>
          <w:lang w:eastAsia="zh-CN"/>
        </w:rPr>
        <w:t>权</w:t>
      </w:r>
      <w:r>
        <w:rPr>
          <w:rFonts w:hint="eastAsia" w:ascii="仿宋_GB2312" w:hAnsi="宋体" w:eastAsia="仿宋_GB2312"/>
          <w:bCs/>
          <w:sz w:val="24"/>
        </w:rPr>
        <w:t>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keepNext w:val="0"/>
        <w:keepLines w:val="0"/>
        <w:pageBreakBefore w:val="0"/>
        <w:tabs>
          <w:tab w:val="left" w:pos="3795"/>
        </w:tabs>
        <w:kinsoku/>
        <w:wordWrap/>
        <w:overflowPunct/>
        <w:topLinePunct w:val="0"/>
        <w:autoSpaceDE/>
        <w:autoSpaceDN/>
        <w:bidi w:val="0"/>
        <w:adjustRightInd/>
        <w:snapToGrid/>
        <w:spacing w:line="440" w:lineRule="exact"/>
        <w:jc w:val="left"/>
        <w:textAlignment w:val="auto"/>
        <w:rPr>
          <w:rFonts w:ascii="仿宋_GB2312" w:hAnsi="宋体" w:eastAsia="仿宋_GB2312"/>
          <w:bCs/>
          <w:sz w:val="24"/>
        </w:rPr>
      </w:pPr>
      <w:r>
        <w:rPr>
          <w:rFonts w:hint="eastAsia" w:ascii="仿宋_GB2312" w:hAnsi="宋体" w:eastAsia="仿宋_GB2312"/>
          <w:bCs/>
          <w:sz w:val="24"/>
          <w:lang w:val="en-US" w:eastAsia="zh-CN"/>
        </w:rPr>
        <w:t xml:space="preserve">    </w:t>
      </w:r>
      <w:r>
        <w:rPr>
          <w:rFonts w:hint="eastAsia" w:ascii="仿宋_GB2312" w:hAnsi="宋体" w:eastAsia="仿宋_GB2312"/>
          <w:bCs/>
          <w:sz w:val="24"/>
        </w:rPr>
        <w:t>12.境外发行外币债券余额：反映企业集团所属境内外子企业截至本年末在境外发行的外币债券（含永续债券）票面本金余额,以人民币填列。各明细项按各类债券的实际币种填列。</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仿宋_GB2312" w:hAnsi="宋体" w:eastAsia="仿宋_GB2312"/>
          <w:bCs/>
          <w:sz w:val="24"/>
        </w:rPr>
      </w:pPr>
      <w:r>
        <w:rPr>
          <w:rFonts w:hint="eastAsia" w:ascii="仿宋_GB2312" w:hAnsi="宋体" w:eastAsia="仿宋_GB2312"/>
          <w:bCs/>
          <w:sz w:val="24"/>
        </w:rPr>
        <w:t>13.境外发行人民币债券余额：反映企业集团所属境内外子企业截至本年末在境外发行的人民币债券票面本金余额。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+10+11+12）行；2行≥（3+4）行；5行≥（6+7+8+9）行；12行≥（13+14）行；15行=（16+19+23）行；16行≥（17+18）行；19行≥（20+21+22）行；23行≥24行；25行=（1+15）行；27行≥28行；31行=（32+33+36）行；33行=34行+35行；37行=38行+39行+40行；</w:t>
      </w:r>
      <w:r>
        <w:rPr>
          <w:rFonts w:hint="eastAsia" w:ascii="仿宋_GB2312" w:hAnsi="宋体" w:eastAsia="仿宋_GB2312"/>
          <w:bCs/>
          <w:sz w:val="24"/>
        </w:rPr>
        <w:t>若封面“报表类型码”为0或2或3或4或5，且封面“执行新准则”中是否执行新金融工具准则为2,则10行=0；若封面“报表类型码”为0或2或3或4或5，且封面“执行新准则”中是否执行新金融工具准则为1,则11行=0。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（1行、2行、5行、10行、11行、15行、16行、19行、24行、25行）年初余额、年末余额≤企财01表（103行、76行、101行、79行、80行、118行、106行、107行、110行、119行）期初余额、期末余额；</w:t>
      </w:r>
      <w:r>
        <w:rPr>
          <w:rFonts w:hint="eastAsia" w:ascii="仿宋_GB2312" w:hAnsi="仿宋" w:eastAsia="仿宋_GB2312"/>
          <w:sz w:val="24"/>
          <w:szCs w:val="24"/>
        </w:rPr>
        <w:t>（27-28）行=财企02表20行“本期金额”栏；32行≥财企01表130行；33行≥财企01表131行。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320A"/>
    <w:rsid w:val="0076474F"/>
    <w:rsid w:val="00765F78"/>
    <w:rsid w:val="00767EBB"/>
    <w:rsid w:val="00773967"/>
    <w:rsid w:val="0078080D"/>
    <w:rsid w:val="00780A43"/>
    <w:rsid w:val="00781FD8"/>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3F15"/>
    <w:rsid w:val="008A46A4"/>
    <w:rsid w:val="008A5A9A"/>
    <w:rsid w:val="008A6E64"/>
    <w:rsid w:val="008A6E69"/>
    <w:rsid w:val="008A7550"/>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498D"/>
    <w:rsid w:val="00BE607D"/>
    <w:rsid w:val="00BE6811"/>
    <w:rsid w:val="00BE76DC"/>
    <w:rsid w:val="00BE7D2B"/>
    <w:rsid w:val="00BF214B"/>
    <w:rsid w:val="00BF2AD6"/>
    <w:rsid w:val="00BF2D84"/>
    <w:rsid w:val="00BF324A"/>
    <w:rsid w:val="00BF3556"/>
    <w:rsid w:val="00BF6850"/>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CE9B9B9"/>
    <w:rsid w:val="0FBB6309"/>
    <w:rsid w:val="16ED1601"/>
    <w:rsid w:val="174F881F"/>
    <w:rsid w:val="19BC1FAB"/>
    <w:rsid w:val="1F521DEE"/>
    <w:rsid w:val="1FF7FCBB"/>
    <w:rsid w:val="2BF64554"/>
    <w:rsid w:val="2DBFCF7E"/>
    <w:rsid w:val="2F7F7DFC"/>
    <w:rsid w:val="361EB4CF"/>
    <w:rsid w:val="36EF1122"/>
    <w:rsid w:val="37F2F1CB"/>
    <w:rsid w:val="3938514D"/>
    <w:rsid w:val="3E6F43C2"/>
    <w:rsid w:val="3EF65381"/>
    <w:rsid w:val="3F6F02FC"/>
    <w:rsid w:val="3FEF2DD4"/>
    <w:rsid w:val="3FF431E8"/>
    <w:rsid w:val="473DFE39"/>
    <w:rsid w:val="4BF5CF41"/>
    <w:rsid w:val="4F6F5C38"/>
    <w:rsid w:val="54FF0675"/>
    <w:rsid w:val="57AB629A"/>
    <w:rsid w:val="59FF2F4A"/>
    <w:rsid w:val="5B2D2A77"/>
    <w:rsid w:val="5B6F0F48"/>
    <w:rsid w:val="5DD70F00"/>
    <w:rsid w:val="5EAF762D"/>
    <w:rsid w:val="5EB519C7"/>
    <w:rsid w:val="5F6E8FBF"/>
    <w:rsid w:val="5FDF4D92"/>
    <w:rsid w:val="6260480D"/>
    <w:rsid w:val="67D91E2B"/>
    <w:rsid w:val="6A5FAD55"/>
    <w:rsid w:val="6AAB7F10"/>
    <w:rsid w:val="6B7BB832"/>
    <w:rsid w:val="6CFA67B8"/>
    <w:rsid w:val="6EE7F12B"/>
    <w:rsid w:val="6FC67D83"/>
    <w:rsid w:val="6FEF5A4A"/>
    <w:rsid w:val="6FFE063A"/>
    <w:rsid w:val="705A02B6"/>
    <w:rsid w:val="719CE578"/>
    <w:rsid w:val="71C43840"/>
    <w:rsid w:val="72BF3115"/>
    <w:rsid w:val="73A229F4"/>
    <w:rsid w:val="73DD7DDF"/>
    <w:rsid w:val="74EE749F"/>
    <w:rsid w:val="75F5A476"/>
    <w:rsid w:val="76411C29"/>
    <w:rsid w:val="76FBBAB0"/>
    <w:rsid w:val="773F7DBE"/>
    <w:rsid w:val="779722A2"/>
    <w:rsid w:val="77BB5E3C"/>
    <w:rsid w:val="77BE1212"/>
    <w:rsid w:val="77BFA164"/>
    <w:rsid w:val="77CF491D"/>
    <w:rsid w:val="77F30D03"/>
    <w:rsid w:val="77FF5853"/>
    <w:rsid w:val="7B7F2212"/>
    <w:rsid w:val="7BAA86AD"/>
    <w:rsid w:val="7BEC88AB"/>
    <w:rsid w:val="7BECB4F4"/>
    <w:rsid w:val="7BF74A62"/>
    <w:rsid w:val="7C7D2B7F"/>
    <w:rsid w:val="7CFF593C"/>
    <w:rsid w:val="7D536A12"/>
    <w:rsid w:val="7D8D6446"/>
    <w:rsid w:val="7E8E22EE"/>
    <w:rsid w:val="7EF72C77"/>
    <w:rsid w:val="7F735B9F"/>
    <w:rsid w:val="7F7CE293"/>
    <w:rsid w:val="7F7FA030"/>
    <w:rsid w:val="7FBCB1BA"/>
    <w:rsid w:val="7FDEC626"/>
    <w:rsid w:val="7FDF3313"/>
    <w:rsid w:val="7FE6A621"/>
    <w:rsid w:val="7FEFC4B3"/>
    <w:rsid w:val="7FEFE9E4"/>
    <w:rsid w:val="7FF73F8B"/>
    <w:rsid w:val="8BFF5326"/>
    <w:rsid w:val="8FBEC97D"/>
    <w:rsid w:val="99E7DBFB"/>
    <w:rsid w:val="9BE5AEB6"/>
    <w:rsid w:val="9DBEDD7E"/>
    <w:rsid w:val="9DDE13D8"/>
    <w:rsid w:val="9E316ED5"/>
    <w:rsid w:val="9E46A406"/>
    <w:rsid w:val="9F730F9F"/>
    <w:rsid w:val="AF93D4E3"/>
    <w:rsid w:val="AFD7C8E4"/>
    <w:rsid w:val="B5F6AFA5"/>
    <w:rsid w:val="B5F7FD34"/>
    <w:rsid w:val="B6F75547"/>
    <w:rsid w:val="B75284AF"/>
    <w:rsid w:val="B9E7CE0D"/>
    <w:rsid w:val="BADD0052"/>
    <w:rsid w:val="BEB6E21A"/>
    <w:rsid w:val="BED7F7B9"/>
    <w:rsid w:val="BEFFDFB3"/>
    <w:rsid w:val="BF6F7512"/>
    <w:rsid w:val="BFFD45A3"/>
    <w:rsid w:val="CFCF14ED"/>
    <w:rsid w:val="D67F1AD0"/>
    <w:rsid w:val="D7F74F5D"/>
    <w:rsid w:val="DBFFA674"/>
    <w:rsid w:val="DDFDC203"/>
    <w:rsid w:val="DEF39630"/>
    <w:rsid w:val="DF7382C8"/>
    <w:rsid w:val="DFDF8252"/>
    <w:rsid w:val="E6BDA704"/>
    <w:rsid w:val="E79DC6BF"/>
    <w:rsid w:val="E7D7B559"/>
    <w:rsid w:val="EB59914E"/>
    <w:rsid w:val="EB7BF71B"/>
    <w:rsid w:val="EF9B8D0E"/>
    <w:rsid w:val="F45E23C3"/>
    <w:rsid w:val="F73B674E"/>
    <w:rsid w:val="F75FC83F"/>
    <w:rsid w:val="F7DF914C"/>
    <w:rsid w:val="F7E3FEAF"/>
    <w:rsid w:val="F7F65E4B"/>
    <w:rsid w:val="F7FA3086"/>
    <w:rsid w:val="F8FEEA7D"/>
    <w:rsid w:val="F9D1F2AD"/>
    <w:rsid w:val="F9FF06A3"/>
    <w:rsid w:val="FABF9DFA"/>
    <w:rsid w:val="FACF784E"/>
    <w:rsid w:val="FAFE756D"/>
    <w:rsid w:val="FBADF661"/>
    <w:rsid w:val="FC77ED79"/>
    <w:rsid w:val="FCCE2FCD"/>
    <w:rsid w:val="FDF72843"/>
    <w:rsid w:val="FDFCC807"/>
    <w:rsid w:val="FE7F7D3B"/>
    <w:rsid w:val="FF3B76D5"/>
    <w:rsid w:val="FF3DC90C"/>
    <w:rsid w:val="FF7723E0"/>
    <w:rsid w:val="FF7FA40D"/>
    <w:rsid w:val="FFA502D8"/>
    <w:rsid w:val="FFB31A68"/>
    <w:rsid w:val="FFDEE3D2"/>
    <w:rsid w:val="FFEBF4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4"/>
    <w:semiHidden/>
    <w:unhideWhenUsed/>
    <w:qFormat/>
    <w:uiPriority w:val="99"/>
    <w:rPr>
      <w:rFonts w:ascii="宋体"/>
      <w:sz w:val="18"/>
      <w:szCs w:val="18"/>
    </w:rPr>
  </w:style>
  <w:style w:type="paragraph" w:styleId="3">
    <w:name w:val="annotation text"/>
    <w:basedOn w:val="1"/>
    <w:link w:val="25"/>
    <w:unhideWhenUsed/>
    <w:qFormat/>
    <w:uiPriority w:val="99"/>
    <w:pPr>
      <w:jc w:val="left"/>
    </w:pPr>
  </w:style>
  <w:style w:type="paragraph" w:styleId="4">
    <w:name w:val="Body Text Indent"/>
    <w:basedOn w:val="1"/>
    <w:link w:val="21"/>
    <w:qFormat/>
    <w:uiPriority w:val="0"/>
    <w:pPr>
      <w:spacing w:after="120"/>
      <w:ind w:left="420" w:leftChars="200"/>
    </w:pPr>
    <w:rPr>
      <w:rFonts w:ascii="Times New Roman" w:hAnsi="Times New Roman"/>
      <w:szCs w:val="24"/>
    </w:rPr>
  </w:style>
  <w:style w:type="paragraph" w:styleId="5">
    <w:name w:val="Plain Text"/>
    <w:basedOn w:val="1"/>
    <w:link w:val="20"/>
    <w:qFormat/>
    <w:uiPriority w:val="0"/>
    <w:rPr>
      <w:rFonts w:ascii="宋体" w:hAnsi="Courier New"/>
      <w:szCs w:val="20"/>
    </w:rPr>
  </w:style>
  <w:style w:type="paragraph" w:styleId="6">
    <w:name w:val="Body Text Indent 2"/>
    <w:basedOn w:val="1"/>
    <w:link w:val="19"/>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2"/>
    <w:semiHidden/>
    <w:qFormat/>
    <w:uiPriority w:val="0"/>
    <w:rPr>
      <w:rFonts w:ascii="Times New Roman" w:hAnsi="Times New Roman"/>
      <w:sz w:val="18"/>
      <w:szCs w:val="18"/>
    </w:rPr>
  </w:style>
  <w:style w:type="paragraph" w:styleId="8">
    <w:name w:val="footer"/>
    <w:basedOn w:val="1"/>
    <w:link w:val="18"/>
    <w:unhideWhenUsed/>
    <w:qFormat/>
    <w:uiPriority w:val="99"/>
    <w:pPr>
      <w:tabs>
        <w:tab w:val="center" w:pos="4153"/>
        <w:tab w:val="right" w:pos="8306"/>
      </w:tabs>
      <w:snapToGrid w:val="0"/>
      <w:jc w:val="left"/>
    </w:pPr>
    <w:rPr>
      <w:kern w:val="0"/>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3"/>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6"/>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字符"/>
    <w:link w:val="9"/>
    <w:qFormat/>
    <w:uiPriority w:val="0"/>
    <w:rPr>
      <w:sz w:val="18"/>
      <w:szCs w:val="18"/>
    </w:rPr>
  </w:style>
  <w:style w:type="character" w:customStyle="1" w:styleId="18">
    <w:name w:val="页脚 字符"/>
    <w:link w:val="8"/>
    <w:qFormat/>
    <w:uiPriority w:val="99"/>
    <w:rPr>
      <w:sz w:val="18"/>
      <w:szCs w:val="18"/>
    </w:rPr>
  </w:style>
  <w:style w:type="character" w:customStyle="1" w:styleId="19">
    <w:name w:val="正文文本缩进 2 字符"/>
    <w:link w:val="6"/>
    <w:qFormat/>
    <w:uiPriority w:val="0"/>
    <w:rPr>
      <w:rFonts w:ascii="仿宋_GB2312" w:hAnsi="Times New Roman" w:eastAsia="仿宋_GB2312"/>
      <w:kern w:val="2"/>
      <w:sz w:val="28"/>
    </w:rPr>
  </w:style>
  <w:style w:type="character" w:customStyle="1" w:styleId="20">
    <w:name w:val="纯文本 字符"/>
    <w:link w:val="5"/>
    <w:qFormat/>
    <w:uiPriority w:val="0"/>
    <w:rPr>
      <w:rFonts w:ascii="宋体" w:hAnsi="Courier New"/>
      <w:kern w:val="2"/>
      <w:sz w:val="21"/>
    </w:rPr>
  </w:style>
  <w:style w:type="character" w:customStyle="1" w:styleId="21">
    <w:name w:val="正文文本缩进 字符"/>
    <w:link w:val="4"/>
    <w:qFormat/>
    <w:uiPriority w:val="0"/>
    <w:rPr>
      <w:rFonts w:ascii="Times New Roman" w:hAnsi="Times New Roman"/>
      <w:kern w:val="2"/>
      <w:sz w:val="21"/>
      <w:szCs w:val="24"/>
    </w:rPr>
  </w:style>
  <w:style w:type="character" w:customStyle="1" w:styleId="22">
    <w:name w:val="批注框文本 字符"/>
    <w:link w:val="7"/>
    <w:semiHidden/>
    <w:qFormat/>
    <w:uiPriority w:val="0"/>
    <w:rPr>
      <w:rFonts w:ascii="Times New Roman" w:hAnsi="Times New Roman"/>
      <w:kern w:val="2"/>
      <w:sz w:val="18"/>
      <w:szCs w:val="18"/>
    </w:rPr>
  </w:style>
  <w:style w:type="character" w:customStyle="1" w:styleId="23">
    <w:name w:val="正文文本缩进 3 字符"/>
    <w:link w:val="10"/>
    <w:qFormat/>
    <w:uiPriority w:val="0"/>
    <w:rPr>
      <w:kern w:val="2"/>
      <w:sz w:val="16"/>
      <w:szCs w:val="16"/>
    </w:rPr>
  </w:style>
  <w:style w:type="character" w:customStyle="1" w:styleId="24">
    <w:name w:val="文档结构图 字符"/>
    <w:link w:val="2"/>
    <w:semiHidden/>
    <w:qFormat/>
    <w:uiPriority w:val="99"/>
    <w:rPr>
      <w:rFonts w:ascii="宋体"/>
      <w:kern w:val="2"/>
      <w:sz w:val="18"/>
      <w:szCs w:val="18"/>
    </w:rPr>
  </w:style>
  <w:style w:type="character" w:customStyle="1" w:styleId="25">
    <w:name w:val="批注文字 字符"/>
    <w:basedOn w:val="15"/>
    <w:link w:val="3"/>
    <w:qFormat/>
    <w:uiPriority w:val="99"/>
    <w:rPr>
      <w:kern w:val="2"/>
      <w:sz w:val="21"/>
      <w:szCs w:val="22"/>
    </w:rPr>
  </w:style>
  <w:style w:type="character" w:customStyle="1" w:styleId="26">
    <w:name w:val="批注主题 字符"/>
    <w:basedOn w:val="25"/>
    <w:link w:val="13"/>
    <w:semiHidden/>
    <w:qFormat/>
    <w:uiPriority w:val="99"/>
    <w:rPr>
      <w:b/>
      <w:bCs/>
      <w:kern w:val="2"/>
      <w:sz w:val="21"/>
      <w:szCs w:val="22"/>
    </w:r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paragraph" w:customStyle="1" w:styleId="28">
    <w:name w:val="修订2"/>
    <w:hidden/>
    <w:semiHidden/>
    <w:qFormat/>
    <w:uiPriority w:val="99"/>
    <w:rPr>
      <w:rFonts w:ascii="Calibri" w:hAnsi="Calibri" w:eastAsia="宋体" w:cs="Times New Roman"/>
      <w:kern w:val="2"/>
      <w:sz w:val="21"/>
      <w:szCs w:val="22"/>
      <w:lang w:val="en-US" w:eastAsia="zh-CN" w:bidi="ar-SA"/>
    </w:rPr>
  </w:style>
  <w:style w:type="character" w:customStyle="1" w:styleId="29">
    <w:name w:val="font11"/>
    <w:qFormat/>
    <w:uiPriority w:val="0"/>
    <w:rPr>
      <w:rFonts w:hint="default" w:ascii="仿宋_GB2312" w:eastAsia="仿宋_GB2312" w:cs="仿宋_GB2312"/>
      <w:color w:val="000000"/>
      <w:sz w:val="21"/>
      <w:szCs w:val="21"/>
      <w:u w:val="none"/>
    </w:rPr>
  </w:style>
  <w:style w:type="character" w:customStyle="1" w:styleId="30">
    <w:name w:val="font01"/>
    <w:qFormat/>
    <w:uiPriority w:val="0"/>
    <w:rPr>
      <w:rFonts w:hint="default" w:ascii="仿宋_GB2312" w:eastAsia="仿宋_GB2312" w:cs="仿宋_GB2312"/>
      <w:color w:val="000000"/>
      <w:sz w:val="21"/>
      <w:szCs w:val="21"/>
      <w:u w:val="none"/>
    </w:rPr>
  </w:style>
  <w:style w:type="paragraph" w:customStyle="1" w:styleId="31">
    <w:name w:val="p0"/>
    <w:basedOn w:val="1"/>
    <w:qFormat/>
    <w:uiPriority w:val="0"/>
    <w:pPr>
      <w:widowControl/>
    </w:pPr>
    <w:rPr>
      <w:kern w:val="0"/>
      <w:szCs w:val="21"/>
    </w:rPr>
  </w:style>
  <w:style w:type="paragraph" w:customStyle="1" w:styleId="3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6785</Words>
  <Characters>38679</Characters>
  <Lines>322</Lines>
  <Paragraphs>90</Paragraphs>
  <TotalTime>1452</TotalTime>
  <ScaleCrop>false</ScaleCrop>
  <LinksUpToDate>false</LinksUpToDate>
  <CharactersWithSpaces>45374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2018-11-09T21:02:00Z</dcterms:created>
  <dc:creator>雨林木风</dc:creator>
  <cp:lastModifiedBy>lenovo</cp:lastModifiedBy>
  <cp:lastPrinted>2022-01-14T05:09:00Z</cp:lastPrinted>
  <dcterms:modified xsi:type="dcterms:W3CDTF">2023-02-14T09:12:56Z</dcterms:modified>
  <cp:revision>675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