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7ACF67">
      <w:pPr>
        <w:jc w:val="center"/>
        <w:rPr>
          <w:rFonts w:ascii="华文中宋" w:hAnsi="华文中宋" w:eastAsia="华文中宋" w:cs="方正小标宋简体"/>
          <w:sz w:val="36"/>
          <w:szCs w:val="36"/>
        </w:rPr>
      </w:pPr>
      <w:r>
        <w:rPr>
          <w:rFonts w:hint="eastAsia" w:ascii="华文中宋" w:hAnsi="华文中宋" w:eastAsia="华文中宋" w:cs="方正小标宋简体"/>
          <w:sz w:val="36"/>
          <w:szCs w:val="36"/>
        </w:rPr>
        <w:t>关于青浦区内陆水域禁用渔具的公告</w:t>
      </w:r>
    </w:p>
    <w:p w14:paraId="3AB50A23">
      <w:pPr>
        <w:spacing w:line="300" w:lineRule="exact"/>
        <w:ind w:firstLine="640" w:firstLineChars="200"/>
        <w:rPr>
          <w:rFonts w:eastAsia="仿宋_GB2312"/>
          <w:sz w:val="32"/>
          <w:szCs w:val="24"/>
        </w:rPr>
      </w:pPr>
    </w:p>
    <w:p w14:paraId="4F32C443">
      <w:pPr>
        <w:spacing w:line="580" w:lineRule="exact"/>
        <w:ind w:firstLine="640" w:firstLineChars="200"/>
        <w:rPr>
          <w:rFonts w:eastAsia="仿宋_GB2312"/>
          <w:sz w:val="32"/>
          <w:szCs w:val="24"/>
        </w:rPr>
      </w:pPr>
      <w:r>
        <w:rPr>
          <w:rFonts w:hint="eastAsia" w:eastAsia="仿宋_GB2312"/>
          <w:sz w:val="32"/>
          <w:szCs w:val="24"/>
        </w:rPr>
        <w:t>为加强捕捞渔具管理，进一步加大我区内陆水域违规渔具整治力度，保护我区各类水域渔业资源，根据上海市农业农村委员会《关于发布我市渔业水域禁用渔具的通告》（沪农委规〔2021〕12号）精神，现将本区内陆水域禁用渔具公告如下：</w:t>
      </w:r>
    </w:p>
    <w:p w14:paraId="21BA6DCB">
      <w:pPr>
        <w:spacing w:line="580" w:lineRule="exact"/>
        <w:ind w:firstLine="640" w:firstLineChars="200"/>
        <w:rPr>
          <w:rFonts w:eastAsia="仿宋_GB2312"/>
          <w:sz w:val="32"/>
          <w:szCs w:val="24"/>
        </w:rPr>
      </w:pPr>
      <w:r>
        <w:rPr>
          <w:rFonts w:hint="eastAsia" w:eastAsia="仿宋_GB2312"/>
          <w:sz w:val="32"/>
          <w:szCs w:val="24"/>
        </w:rPr>
        <w:t>1、适用范围：</w:t>
      </w:r>
      <w:r>
        <w:rPr>
          <w:rFonts w:hint="eastAsia" w:eastAsia="仿宋_GB2312"/>
          <w:sz w:val="32"/>
        </w:rPr>
        <w:t>青浦辖区内开放性、自然性渔业水域，包括湖泊及河流（河道）。</w:t>
      </w:r>
    </w:p>
    <w:p w14:paraId="2AF5EAA4">
      <w:pPr>
        <w:spacing w:line="580" w:lineRule="exact"/>
        <w:ind w:firstLine="640" w:firstLineChars="200"/>
        <w:rPr>
          <w:rFonts w:eastAsia="仿宋_GB2312"/>
          <w:sz w:val="32"/>
          <w:szCs w:val="24"/>
        </w:rPr>
      </w:pPr>
      <w:r>
        <w:rPr>
          <w:rFonts w:hint="eastAsia" w:eastAsia="仿宋_GB2312"/>
          <w:sz w:val="32"/>
          <w:szCs w:val="24"/>
        </w:rPr>
        <w:t>2、禁用渔具：除《中华人民共和国渔业法》及农业农村部规定的相关禁用渔具以外，禁止使用插网、网簖、地笼网、机吸耙刺、机拖耙刺等破坏渔业资源的渔具。</w:t>
      </w:r>
    </w:p>
    <w:p w14:paraId="071A4362">
      <w:pPr>
        <w:spacing w:line="580" w:lineRule="exact"/>
        <w:ind w:firstLine="640" w:firstLineChars="200"/>
        <w:rPr>
          <w:rFonts w:eastAsia="仿宋_GB2312"/>
          <w:sz w:val="32"/>
          <w:szCs w:val="24"/>
        </w:rPr>
      </w:pPr>
      <w:r>
        <w:rPr>
          <w:rFonts w:hint="eastAsia" w:eastAsia="仿宋_GB2312"/>
          <w:sz w:val="32"/>
          <w:szCs w:val="24"/>
        </w:rPr>
        <w:t>3、法律责任：使用禁用渔具违法捕捞</w:t>
      </w:r>
      <w:r>
        <w:rPr>
          <w:rFonts w:hint="eastAsia" w:eastAsia="仿宋_GB2312"/>
          <w:sz w:val="32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区农业农村委将根据《中华人民共和国渔业法》予以处罚。情节严重</w:t>
      </w:r>
      <w:r>
        <w:rPr>
          <w:rFonts w:hint="eastAsia" w:eastAsia="仿宋_GB2312"/>
          <w:sz w:val="32"/>
          <w:szCs w:val="24"/>
        </w:rPr>
        <w:t>构成犯罪的，依法追究刑事责任。</w:t>
      </w:r>
    </w:p>
    <w:p w14:paraId="7B807DDC">
      <w:pPr>
        <w:spacing w:line="580" w:lineRule="exact"/>
        <w:ind w:firstLine="640" w:firstLineChars="200"/>
        <w:rPr>
          <w:rFonts w:eastAsia="仿宋_GB2312"/>
          <w:sz w:val="32"/>
          <w:szCs w:val="24"/>
        </w:rPr>
      </w:pPr>
      <w:r>
        <w:rPr>
          <w:rFonts w:hint="eastAsia" w:eastAsia="仿宋_GB2312"/>
          <w:sz w:val="32"/>
          <w:szCs w:val="24"/>
        </w:rPr>
        <w:t>4、实施时间：该公告自2021年12月16日起正式实施。</w:t>
      </w:r>
    </w:p>
    <w:p w14:paraId="0147FCA8">
      <w:pPr>
        <w:spacing w:line="580" w:lineRule="exact"/>
        <w:rPr>
          <w:rFonts w:eastAsia="仿宋_GB2312"/>
          <w:sz w:val="32"/>
          <w:szCs w:val="24"/>
        </w:rPr>
      </w:pPr>
    </w:p>
    <w:p w14:paraId="2D0D1439">
      <w:pPr>
        <w:spacing w:line="580" w:lineRule="exact"/>
        <w:jc w:val="right"/>
        <w:rPr>
          <w:rFonts w:eastAsia="仿宋_GB2312"/>
          <w:sz w:val="32"/>
          <w:szCs w:val="24"/>
        </w:rPr>
      </w:pPr>
      <w:r>
        <w:rPr>
          <w:rFonts w:hint="eastAsia" w:eastAsia="仿宋_GB2312"/>
          <w:sz w:val="32"/>
          <w:szCs w:val="24"/>
        </w:rPr>
        <w:t>上海市青浦区农业农村委员会</w:t>
      </w:r>
    </w:p>
    <w:p w14:paraId="416371D2">
      <w:pPr>
        <w:spacing w:line="580" w:lineRule="exact"/>
        <w:ind w:right="640" w:firstLine="160" w:firstLineChars="50"/>
        <w:jc w:val="right"/>
        <w:rPr>
          <w:rFonts w:eastAsia="仿宋_GB2312"/>
          <w:sz w:val="32"/>
          <w:szCs w:val="24"/>
        </w:rPr>
      </w:pPr>
    </w:p>
    <w:p w14:paraId="4B9947B8">
      <w:pPr>
        <w:spacing w:line="580" w:lineRule="exact"/>
        <w:rPr>
          <w:rFonts w:eastAsia="仿宋_GB2312"/>
          <w:sz w:val="32"/>
          <w:szCs w:val="24"/>
        </w:rPr>
      </w:pPr>
    </w:p>
    <w:p w14:paraId="4398E5ED">
      <w:pPr>
        <w:spacing w:line="580" w:lineRule="exact"/>
        <w:rPr>
          <w:rFonts w:eastAsia="仿宋_GB2312"/>
          <w:sz w:val="32"/>
          <w:szCs w:val="24"/>
        </w:rPr>
      </w:pPr>
    </w:p>
    <w:p w14:paraId="5E74AD16">
      <w:pPr>
        <w:spacing w:line="580" w:lineRule="exact"/>
        <w:rPr>
          <w:rFonts w:hint="eastAsia" w:eastAsia="仿宋_GB2312"/>
          <w:sz w:val="32"/>
          <w:szCs w:val="24"/>
        </w:rPr>
      </w:pPr>
    </w:p>
    <w:p w14:paraId="7BC71F11">
      <w:pPr>
        <w:spacing w:line="580" w:lineRule="exact"/>
        <w:rPr>
          <w:rFonts w:hint="eastAsia" w:eastAsia="仿宋_GB2312"/>
          <w:sz w:val="32"/>
          <w:szCs w:val="24"/>
        </w:rPr>
      </w:pPr>
      <w:bookmarkStart w:id="0" w:name="_GoBack"/>
      <w:bookmarkEnd w:id="0"/>
    </w:p>
    <w:p w14:paraId="244FB57E">
      <w:pPr>
        <w:spacing w:line="580" w:lineRule="exact"/>
        <w:rPr>
          <w:rFonts w:eastAsia="仿宋_GB2312"/>
          <w:sz w:val="32"/>
          <w:szCs w:val="24"/>
        </w:rPr>
      </w:pPr>
      <w:r>
        <w:rPr>
          <w:rFonts w:hint="eastAsia" w:eastAsia="仿宋_GB2312"/>
          <w:sz w:val="32"/>
          <w:szCs w:val="24"/>
        </w:rPr>
        <w:t>附件：上海市黄浦江及其他内陆水域禁用渔具汇总释义表</w:t>
      </w:r>
    </w:p>
    <w:p w14:paraId="0B0B870E">
      <w:pPr>
        <w:spacing w:line="580" w:lineRule="exact"/>
        <w:rPr>
          <w:rFonts w:eastAsia="仿宋_GB2312"/>
          <w:sz w:val="32"/>
          <w:szCs w:val="24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1"/>
        <w:gridCol w:w="1650"/>
        <w:gridCol w:w="1630"/>
        <w:gridCol w:w="1838"/>
        <w:gridCol w:w="6625"/>
        <w:gridCol w:w="1320"/>
      </w:tblGrid>
      <w:tr w14:paraId="2CD1B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111" w:type="dxa"/>
            <w:vAlign w:val="center"/>
          </w:tcPr>
          <w:p w14:paraId="58223515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  <w:lang w:eastAsia="zh-CN"/>
              </w:rPr>
              <w:t>禁用水域</w:t>
            </w:r>
          </w:p>
        </w:tc>
        <w:tc>
          <w:tcPr>
            <w:tcW w:w="1650" w:type="dxa"/>
            <w:vAlign w:val="center"/>
          </w:tcPr>
          <w:p w14:paraId="13F200C5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  <w:lang w:eastAsia="zh-CN"/>
              </w:rPr>
              <w:t>渔具常用名</w:t>
            </w:r>
          </w:p>
        </w:tc>
        <w:tc>
          <w:tcPr>
            <w:tcW w:w="1630" w:type="dxa"/>
            <w:vAlign w:val="center"/>
          </w:tcPr>
          <w:p w14:paraId="49DF92F9">
            <w:pPr>
              <w:jc w:val="center"/>
              <w:rPr>
                <w:rFonts w:hint="default" w:ascii="仿宋_GB2312" w:hAnsi="仿宋_GB2312" w:eastAsia="仿宋_GB2312" w:cs="仿宋_GB2312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  <w:lang w:eastAsia="zh-CN"/>
              </w:rPr>
              <w:t>作业类型</w:t>
            </w: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  <w:lang w:val="en-US" w:eastAsia="zh-CN"/>
              </w:rPr>
              <w:t>/学名</w:t>
            </w:r>
          </w:p>
        </w:tc>
        <w:tc>
          <w:tcPr>
            <w:tcW w:w="1838" w:type="dxa"/>
            <w:vAlign w:val="center"/>
          </w:tcPr>
          <w:p w14:paraId="2218F3F3">
            <w:pPr>
              <w:jc w:val="center"/>
              <w:rPr>
                <w:rFonts w:hint="eastAsia"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  <w:lang w:eastAsia="zh-CN"/>
              </w:rPr>
              <w:t>俗名</w:t>
            </w:r>
          </w:p>
        </w:tc>
        <w:tc>
          <w:tcPr>
            <w:tcW w:w="6625" w:type="dxa"/>
            <w:vAlign w:val="center"/>
          </w:tcPr>
          <w:p w14:paraId="37C3E16F">
            <w:pPr>
              <w:jc w:val="center"/>
              <w:rPr>
                <w:rFonts w:hint="eastAsia"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  <w:lang w:eastAsia="zh-CN"/>
              </w:rPr>
              <w:t>示意图</w:t>
            </w:r>
          </w:p>
        </w:tc>
        <w:tc>
          <w:tcPr>
            <w:tcW w:w="1320" w:type="dxa"/>
            <w:vAlign w:val="center"/>
          </w:tcPr>
          <w:p w14:paraId="4562CC9B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1"/>
                <w:lang w:eastAsia="zh-CN"/>
              </w:rPr>
              <w:t>备注</w:t>
            </w:r>
          </w:p>
        </w:tc>
      </w:tr>
      <w:tr w14:paraId="65AAD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4" w:hRule="atLeast"/>
        </w:trPr>
        <w:tc>
          <w:tcPr>
            <w:tcW w:w="1111" w:type="dxa"/>
            <w:vAlign w:val="center"/>
          </w:tcPr>
          <w:p w14:paraId="6900A71E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 w14:paraId="592E1E58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网簖</w:t>
            </w:r>
          </w:p>
        </w:tc>
        <w:tc>
          <w:tcPr>
            <w:tcW w:w="1630" w:type="dxa"/>
            <w:vAlign w:val="center"/>
          </w:tcPr>
          <w:p w14:paraId="054F9675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陷阱类：导陷建网陷阱</w:t>
            </w:r>
          </w:p>
        </w:tc>
        <w:tc>
          <w:tcPr>
            <w:tcW w:w="1838" w:type="dxa"/>
            <w:vAlign w:val="center"/>
          </w:tcPr>
          <w:p w14:paraId="63331720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</w:p>
          <w:p w14:paraId="2B857CE9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建网、鱼簖、老牛网、涂网</w:t>
            </w:r>
          </w:p>
          <w:p w14:paraId="1B4C29FE">
            <w:pPr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</w:pPr>
          </w:p>
        </w:tc>
        <w:tc>
          <w:tcPr>
            <w:tcW w:w="6625" w:type="dxa"/>
          </w:tcPr>
          <w:p w14:paraId="496A0FE7">
            <w:pPr>
              <w:rPr>
                <w:rFonts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  <w:drawing>
                <wp:inline distT="0" distB="0" distL="114300" distR="114300">
                  <wp:extent cx="4067175" cy="2215515"/>
                  <wp:effectExtent l="0" t="0" r="9525" b="13335"/>
                  <wp:docPr id="1" name="图片 7" descr="微信图片_2013010101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 descr="微信图片_201301010126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14:paraId="3A0FBC76">
            <w:pPr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</w:p>
        </w:tc>
      </w:tr>
      <w:tr w14:paraId="25EF7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1111" w:type="dxa"/>
            <w:vAlign w:val="center"/>
          </w:tcPr>
          <w:p w14:paraId="73A09DD1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 w14:paraId="33314BBA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地笼网</w:t>
            </w:r>
          </w:p>
        </w:tc>
        <w:tc>
          <w:tcPr>
            <w:tcW w:w="1630" w:type="dxa"/>
            <w:vAlign w:val="center"/>
          </w:tcPr>
          <w:p w14:paraId="64208538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笼壶类：定置串联倒须笼</w:t>
            </w:r>
          </w:p>
        </w:tc>
        <w:tc>
          <w:tcPr>
            <w:tcW w:w="1838" w:type="dxa"/>
            <w:vAlign w:val="center"/>
          </w:tcPr>
          <w:p w14:paraId="3DD5D93B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地笼、滚地龙、串网、滩涂百足笼、笼口网、百结网</w:t>
            </w:r>
          </w:p>
        </w:tc>
        <w:tc>
          <w:tcPr>
            <w:tcW w:w="6625" w:type="dxa"/>
          </w:tcPr>
          <w:p w14:paraId="5A273F1D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1"/>
              </w:rPr>
              <w:drawing>
                <wp:inline distT="0" distB="0" distL="114300" distR="114300">
                  <wp:extent cx="4060190" cy="2249805"/>
                  <wp:effectExtent l="0" t="0" r="16510" b="17145"/>
                  <wp:docPr id="4" name="图片 4" descr="a243e55b0733a1c28cf10859c0149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243e55b0733a1c28cf10859c01494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190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 w14:paraId="2DC593D1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各类地笼网大小、长度、结构等稍有不同。</w:t>
            </w:r>
          </w:p>
          <w:p w14:paraId="703D055A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</w:p>
        </w:tc>
      </w:tr>
      <w:tr w14:paraId="2ED6D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4" w:hRule="atLeast"/>
        </w:trPr>
        <w:tc>
          <w:tcPr>
            <w:tcW w:w="1111" w:type="dxa"/>
            <w:vMerge w:val="restart"/>
            <w:vAlign w:val="center"/>
          </w:tcPr>
          <w:p w14:paraId="5C80BC58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黄浦江及其他内陆水域</w:t>
            </w:r>
          </w:p>
        </w:tc>
        <w:tc>
          <w:tcPr>
            <w:tcW w:w="1650" w:type="dxa"/>
            <w:vMerge w:val="restart"/>
            <w:vAlign w:val="center"/>
          </w:tcPr>
          <w:p w14:paraId="795DA012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插网</w:t>
            </w:r>
          </w:p>
        </w:tc>
        <w:tc>
          <w:tcPr>
            <w:tcW w:w="1630" w:type="dxa"/>
            <w:vMerge w:val="restart"/>
            <w:vAlign w:val="center"/>
          </w:tcPr>
          <w:p w14:paraId="436486C9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陷阱类：</w:t>
            </w:r>
          </w:p>
          <w:p w14:paraId="6CCB6FD9">
            <w:pPr>
              <w:numPr>
                <w:ilvl w:val="0"/>
                <w:numId w:val="1"/>
              </w:num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拦截插网</w:t>
            </w:r>
          </w:p>
          <w:p w14:paraId="47D21AC8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陷阱</w:t>
            </w:r>
          </w:p>
          <w:p w14:paraId="0E967792">
            <w:pPr>
              <w:numPr>
                <w:ilvl w:val="0"/>
                <w:numId w:val="1"/>
              </w:num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导陷插网</w:t>
            </w:r>
          </w:p>
          <w:p w14:paraId="3CA8CB28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陷阱</w:t>
            </w:r>
          </w:p>
        </w:tc>
        <w:tc>
          <w:tcPr>
            <w:tcW w:w="1838" w:type="dxa"/>
            <w:vMerge w:val="restart"/>
            <w:vAlign w:val="center"/>
          </w:tcPr>
          <w:p w14:paraId="60AD32CC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地撩网、撩网、迷魂网、滩涂串网、樯网、须笼网、须网、滩边罟</w:t>
            </w:r>
          </w:p>
          <w:p w14:paraId="5ED5D486">
            <w:pPr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</w:pPr>
          </w:p>
        </w:tc>
        <w:tc>
          <w:tcPr>
            <w:tcW w:w="6625" w:type="dxa"/>
            <w:vAlign w:val="center"/>
          </w:tcPr>
          <w:p w14:paraId="7A58C217">
            <w:pPr>
              <w:ind w:firstLine="840" w:firstLineChars="400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1、拦截插网陷阱</w:t>
            </w:r>
          </w:p>
          <w:p w14:paraId="4BCDE50F">
            <w:pPr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1"/>
              </w:rPr>
              <w:drawing>
                <wp:inline distT="0" distB="0" distL="114300" distR="114300">
                  <wp:extent cx="4058285" cy="1971675"/>
                  <wp:effectExtent l="19050" t="0" r="0" b="0"/>
                  <wp:docPr id="13" name="图片 3" descr="92af82f95b43e7e84817298f0425d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92af82f95b43e7e84817298f0425d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Merge w:val="restart"/>
            <w:vAlign w:val="center"/>
          </w:tcPr>
          <w:p w14:paraId="6FF517E1">
            <w:pPr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 xml:space="preserve"> 各类插网大小、长度、材质、排列形态等稍有不同。</w:t>
            </w:r>
          </w:p>
        </w:tc>
      </w:tr>
      <w:tr w14:paraId="6E044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9" w:hRule="atLeast"/>
        </w:trPr>
        <w:tc>
          <w:tcPr>
            <w:tcW w:w="1111" w:type="dxa"/>
            <w:vMerge w:val="continue"/>
          </w:tcPr>
          <w:p w14:paraId="1706A494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</w:p>
        </w:tc>
        <w:tc>
          <w:tcPr>
            <w:tcW w:w="1650" w:type="dxa"/>
            <w:vMerge w:val="continue"/>
          </w:tcPr>
          <w:p w14:paraId="475E1026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</w:p>
        </w:tc>
        <w:tc>
          <w:tcPr>
            <w:tcW w:w="1630" w:type="dxa"/>
            <w:vMerge w:val="continue"/>
          </w:tcPr>
          <w:p w14:paraId="6E99F81C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</w:p>
        </w:tc>
        <w:tc>
          <w:tcPr>
            <w:tcW w:w="1838" w:type="dxa"/>
            <w:vMerge w:val="continue"/>
          </w:tcPr>
          <w:p w14:paraId="5D8F67EE">
            <w:pPr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</w:pPr>
          </w:p>
        </w:tc>
        <w:tc>
          <w:tcPr>
            <w:tcW w:w="6625" w:type="dxa"/>
          </w:tcPr>
          <w:p w14:paraId="55D5045F">
            <w:pPr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 xml:space="preserve">        2、导陷插网陷阱</w:t>
            </w:r>
          </w:p>
          <w:p w14:paraId="76E865E8">
            <w:pPr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1"/>
              </w:rPr>
              <w:drawing>
                <wp:inline distT="0" distB="0" distL="114300" distR="114300">
                  <wp:extent cx="3867785" cy="2105025"/>
                  <wp:effectExtent l="19050" t="0" r="0" b="0"/>
                  <wp:docPr id="14" name="图片 6" descr="4e20b1e3da28ba42528a25593d099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4e20b1e3da28ba42528a25593d0995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785" cy="210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Merge w:val="continue"/>
          </w:tcPr>
          <w:p w14:paraId="5503261E">
            <w:pPr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</w:p>
        </w:tc>
      </w:tr>
      <w:tr w14:paraId="34D3C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8" w:hRule="atLeast"/>
        </w:trPr>
        <w:tc>
          <w:tcPr>
            <w:tcW w:w="1111" w:type="dxa"/>
            <w:vAlign w:val="center"/>
          </w:tcPr>
          <w:p w14:paraId="518C2250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 w14:paraId="1F53DEF2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机吸耙刺</w:t>
            </w:r>
          </w:p>
        </w:tc>
        <w:tc>
          <w:tcPr>
            <w:tcW w:w="1630" w:type="dxa"/>
            <w:vAlign w:val="center"/>
          </w:tcPr>
          <w:p w14:paraId="0E9B36AE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耙刺类：拖曳泵吸耙刺</w:t>
            </w:r>
          </w:p>
        </w:tc>
        <w:tc>
          <w:tcPr>
            <w:tcW w:w="1838" w:type="dxa"/>
            <w:vAlign w:val="center"/>
          </w:tcPr>
          <w:p w14:paraId="1CDCADC3">
            <w:pPr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1"/>
                <w:szCs w:val="21"/>
                <w:shd w:val="clear" w:color="auto" w:fill="FFFFFF"/>
              </w:rPr>
              <w:t>机吸螺蚬、吸蛤泵、吸蛤耙</w:t>
            </w:r>
          </w:p>
        </w:tc>
        <w:tc>
          <w:tcPr>
            <w:tcW w:w="6625" w:type="dxa"/>
          </w:tcPr>
          <w:p w14:paraId="12D75F84">
            <w:pPr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  <w:drawing>
                <wp:inline distT="0" distB="0" distL="114300" distR="114300">
                  <wp:extent cx="4018915" cy="2219325"/>
                  <wp:effectExtent l="19050" t="0" r="1" b="0"/>
                  <wp:docPr id="17" name="图片 17" descr="7b4709d5cce6f68f61531ffc002ce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b4709d5cce6f68f61531ffc002cef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455" cy="222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14:paraId="412979BF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</w:p>
        </w:tc>
      </w:tr>
      <w:tr w14:paraId="194BD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9" w:hRule="atLeast"/>
        </w:trPr>
        <w:tc>
          <w:tcPr>
            <w:tcW w:w="1111" w:type="dxa"/>
            <w:vAlign w:val="center"/>
          </w:tcPr>
          <w:p w14:paraId="7F935CB9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 w14:paraId="53AD7705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机拖耙刺</w:t>
            </w:r>
          </w:p>
        </w:tc>
        <w:tc>
          <w:tcPr>
            <w:tcW w:w="1630" w:type="dxa"/>
            <w:vAlign w:val="center"/>
          </w:tcPr>
          <w:p w14:paraId="431EEEB0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1"/>
                <w:szCs w:val="21"/>
              </w:rPr>
              <w:t>耙刺类：拖曳水冲齿耙耙刺、拖曳齿耙耙刺</w:t>
            </w:r>
          </w:p>
        </w:tc>
        <w:tc>
          <w:tcPr>
            <w:tcW w:w="1838" w:type="dxa"/>
            <w:vAlign w:val="center"/>
          </w:tcPr>
          <w:p w14:paraId="4E39C502">
            <w:pPr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1"/>
                <w:szCs w:val="21"/>
                <w:shd w:val="clear" w:color="auto" w:fill="FFFFFF"/>
              </w:rPr>
              <w:t>水冲式耙子、泵耙子、泵耙网、拖曳框类耙刺</w:t>
            </w:r>
          </w:p>
        </w:tc>
        <w:tc>
          <w:tcPr>
            <w:tcW w:w="6625" w:type="dxa"/>
          </w:tcPr>
          <w:p w14:paraId="169235FF">
            <w:pPr>
              <w:jc w:val="center"/>
              <w:rPr>
                <w:rFonts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0"/>
                <w:sz w:val="20"/>
                <w:szCs w:val="21"/>
                <w:shd w:val="clear" w:color="auto" w:fill="FFFFFF"/>
              </w:rPr>
              <w:drawing>
                <wp:inline distT="0" distB="0" distL="114300" distR="114300">
                  <wp:extent cx="4068445" cy="2000250"/>
                  <wp:effectExtent l="19050" t="0" r="8255" b="0"/>
                  <wp:docPr id="18" name="图片 18" descr="57e3dc757052cec58dc209e64fcf7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7e3dc757052cec58dc209e64fcf75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44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14:paraId="615620FA">
            <w:pPr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1"/>
              </w:rPr>
            </w:pPr>
          </w:p>
        </w:tc>
      </w:tr>
    </w:tbl>
    <w:p w14:paraId="158D5A8B">
      <w:pPr>
        <w:spacing w:line="580" w:lineRule="exact"/>
        <w:rPr>
          <w:rFonts w:eastAsia="仿宋_GB2312"/>
          <w:sz w:val="32"/>
          <w:szCs w:val="24"/>
        </w:rPr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E1CA85"/>
    <w:multiLevelType w:val="singleLevel"/>
    <w:tmpl w:val="50E1CA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600"/>
    <w:rsid w:val="0002038B"/>
    <w:rsid w:val="000D5006"/>
    <w:rsid w:val="001D49FE"/>
    <w:rsid w:val="001E7E12"/>
    <w:rsid w:val="0025570C"/>
    <w:rsid w:val="00375292"/>
    <w:rsid w:val="00443312"/>
    <w:rsid w:val="004A6E75"/>
    <w:rsid w:val="004D05DD"/>
    <w:rsid w:val="006A2355"/>
    <w:rsid w:val="006C5648"/>
    <w:rsid w:val="007930C3"/>
    <w:rsid w:val="007C14DE"/>
    <w:rsid w:val="009E2173"/>
    <w:rsid w:val="00A50600"/>
    <w:rsid w:val="00B00F97"/>
    <w:rsid w:val="00CD707B"/>
    <w:rsid w:val="00DC6488"/>
    <w:rsid w:val="00E062E6"/>
    <w:rsid w:val="122450DC"/>
    <w:rsid w:val="36A31E74"/>
    <w:rsid w:val="3E5E28E2"/>
    <w:rsid w:val="437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4</Pages>
  <Words>607</Words>
  <Characters>616</Characters>
  <Lines>4</Lines>
  <Paragraphs>1</Paragraphs>
  <TotalTime>0</TotalTime>
  <ScaleCrop>false</ScaleCrop>
  <LinksUpToDate>false</LinksUpToDate>
  <CharactersWithSpaces>625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2021-12-24T02:14:00Z</dcterms:created>
  <dc:creator>USER-</dc:creator>
  <cp:lastModifiedBy>微信用户</cp:lastModifiedBy>
  <dcterms:modified xsi:type="dcterms:W3CDTF">2025-02-07T01:37:10Z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0606363E44004B3F88C8B8683141EF17_13</vt:lpwstr>
  </property>
  <property fmtid="{D5CDD505-2E9C-101B-9397-08002B2CF9AE}" pid="4" name="KSOTemplateDocerSaveRecord">
    <vt:lpwstr>eyJoZGlkIjoiNzk1YTg3ZGQ2ZWE4ZDEwNDM1ZDc0NjhiNmIwZTc4YWIiLCJ1c2VySWQiOiIxMzU3MDMxOTE4In0=</vt:lpwstr>
  </property>
</Properties>
</file>