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F0D58">
      <w:pPr>
        <w:pStyle w:val="2"/>
        <w:spacing w:line="480" w:lineRule="exact"/>
        <w:jc w:val="center"/>
        <w:rPr>
          <w:rFonts w:ascii="黑体" w:hAnsi="黑体" w:cs="仿宋_GB2312"/>
          <w:b/>
          <w:sz w:val="36"/>
          <w:szCs w:val="36"/>
        </w:rPr>
      </w:pPr>
      <w:r>
        <w:rPr>
          <w:rFonts w:hint="eastAsia" w:ascii="黑体" w:hAnsi="黑体" w:cs="仿宋_GB2312"/>
          <w:b/>
          <w:sz w:val="36"/>
          <w:szCs w:val="36"/>
        </w:rPr>
        <w:t>上海市市级企业技术中心评价方法</w:t>
      </w:r>
    </w:p>
    <w:p w14:paraId="40A316DB"/>
    <w:p w14:paraId="6E7FC9B3">
      <w:pPr>
        <w:pStyle w:val="2"/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上海市市级企业技术中心的评价按以下工作程序进行：</w:t>
      </w:r>
    </w:p>
    <w:p w14:paraId="3769C4F9">
      <w:pPr>
        <w:pStyle w:val="2"/>
        <w:spacing w:line="500" w:lineRule="exact"/>
        <w:ind w:firstLine="643" w:firstLineChars="200"/>
        <w:rPr>
          <w:rFonts w:ascii="黑体" w:hAnsi="黑体" w:cs="仿宋_GB2312"/>
          <w:b/>
          <w:sz w:val="32"/>
          <w:szCs w:val="32"/>
        </w:rPr>
      </w:pPr>
      <w:r>
        <w:rPr>
          <w:rFonts w:hint="eastAsia" w:ascii="黑体" w:hAnsi="黑体" w:cs="仿宋_GB2312"/>
          <w:b/>
          <w:sz w:val="32"/>
          <w:szCs w:val="32"/>
        </w:rPr>
        <w:t>一、基础数据处理</w:t>
      </w:r>
    </w:p>
    <w:p w14:paraId="6FB6627D">
      <w:pPr>
        <w:pStyle w:val="2"/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在进行正式评价之前，首先需根据《上海市市级企业</w:t>
      </w:r>
      <w:r>
        <w:rPr>
          <w:rFonts w:ascii="仿宋_GB2312" w:hAnsi="仿宋_GB2312" w:eastAsia="仿宋_GB2312" w:cs="仿宋_GB2312"/>
          <w:sz w:val="32"/>
          <w:szCs w:val="32"/>
        </w:rPr>
        <w:t>技术中心认定评价工作指南</w:t>
      </w:r>
      <w:r>
        <w:rPr>
          <w:rFonts w:hint="eastAsia" w:ascii="仿宋_GB2312" w:hAnsi="仿宋_GB2312" w:eastAsia="仿宋_GB2312" w:cs="仿宋_GB2312"/>
          <w:sz w:val="32"/>
          <w:szCs w:val="32"/>
        </w:rPr>
        <w:t>》（沪经信技〔</w:t>
      </w:r>
      <w:r>
        <w:rPr>
          <w:rFonts w:ascii="仿宋_GB2312" w:hAnsi="仿宋_GB2312" w:eastAsia="仿宋_GB2312" w:cs="仿宋_GB2312"/>
          <w:sz w:val="32"/>
          <w:szCs w:val="32"/>
        </w:rPr>
        <w:t>2022〕145号，以下简称《工作指南》）明确的各项指标解释，结合</w:t>
      </w:r>
      <w:r>
        <w:rPr>
          <w:rFonts w:hint="eastAsia" w:ascii="仿宋_GB2312" w:hAnsi="仿宋_GB2312" w:eastAsia="仿宋_GB2312" w:cs="仿宋_GB2312"/>
          <w:sz w:val="32"/>
          <w:szCs w:val="32"/>
        </w:rPr>
        <w:t>评价附表（表1-16）</w:t>
      </w:r>
      <w:r>
        <w:rPr>
          <w:rFonts w:ascii="仿宋_GB2312" w:hAnsi="仿宋_GB2312" w:eastAsia="仿宋_GB2312" w:cs="仿宋_GB2312"/>
          <w:sz w:val="32"/>
          <w:szCs w:val="32"/>
        </w:rPr>
        <w:t>中的相关附件及证明材料，对“</w:t>
      </w:r>
      <w:r>
        <w:rPr>
          <w:rFonts w:hint="eastAsia" w:ascii="仿宋_GB2312" w:hAnsi="仿宋_GB2312" w:eastAsia="仿宋_GB2312" w:cs="仿宋_GB2312"/>
          <w:sz w:val="32"/>
          <w:szCs w:val="32"/>
        </w:rPr>
        <w:t>上海市市级</w:t>
      </w:r>
      <w:r>
        <w:rPr>
          <w:rFonts w:ascii="仿宋_GB2312" w:hAnsi="仿宋_GB2312" w:eastAsia="仿宋_GB2312" w:cs="仿宋_GB2312"/>
          <w:sz w:val="32"/>
          <w:szCs w:val="32"/>
        </w:rPr>
        <w:t>企业技术中心评价数据表”中各项数据值进行逐项核实，对证明材料缺失或无效的数据予以核减，以最终的核定数据作为计算每项指标得分的依据。</w:t>
      </w:r>
    </w:p>
    <w:p w14:paraId="42ED540A">
      <w:pPr>
        <w:pStyle w:val="2"/>
        <w:spacing w:line="500" w:lineRule="exact"/>
        <w:ind w:firstLine="643" w:firstLineChars="200"/>
        <w:rPr>
          <w:rFonts w:ascii="黑体" w:hAnsi="黑体" w:cs="仿宋_GB2312"/>
          <w:b/>
          <w:sz w:val="32"/>
          <w:szCs w:val="32"/>
        </w:rPr>
      </w:pPr>
      <w:r>
        <w:rPr>
          <w:rFonts w:hint="eastAsia" w:ascii="黑体" w:hAnsi="黑体" w:cs="仿宋_GB2312"/>
          <w:b/>
          <w:sz w:val="32"/>
          <w:szCs w:val="32"/>
        </w:rPr>
        <w:t>二、指标数值计算</w:t>
      </w:r>
    </w:p>
    <w:p w14:paraId="340D7B35">
      <w:pPr>
        <w:pStyle w:val="2"/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在获得</w:t>
      </w:r>
      <w:r>
        <w:rPr>
          <w:rFonts w:ascii="仿宋_GB2312" w:hAnsi="仿宋_GB2312" w:eastAsia="仿宋_GB2312" w:cs="仿宋_GB2312"/>
          <w:sz w:val="32"/>
          <w:szCs w:val="32"/>
        </w:rPr>
        <w:t>评价数据表</w:t>
      </w:r>
      <w:r>
        <w:rPr>
          <w:rFonts w:hint="eastAsia" w:ascii="仿宋_GB2312" w:hAnsi="仿宋_GB2312" w:eastAsia="仿宋_GB2312" w:cs="仿宋_GB2312"/>
          <w:sz w:val="32"/>
          <w:szCs w:val="32"/>
        </w:rPr>
        <w:t>的核定数据后，可获得《上海市市级企业技术中心评价指标体系》（见《工作指南》附件</w:t>
      </w:r>
      <w:r>
        <w:rPr>
          <w:rFonts w:ascii="仿宋_GB2312" w:hAnsi="仿宋_GB2312" w:eastAsia="仿宋_GB2312" w:cs="仿宋_GB2312"/>
          <w:sz w:val="32"/>
          <w:szCs w:val="32"/>
        </w:rPr>
        <w:t>4第一部分）中各项指标的数值。其中，有6项指标的数值须通过计算获得</w:t>
      </w:r>
      <w:r>
        <w:rPr>
          <w:rFonts w:hint="eastAsia" w:ascii="仿宋_GB2312" w:hAnsi="仿宋_GB2312" w:eastAsia="仿宋_GB2312" w:cs="仿宋_GB2312"/>
          <w:sz w:val="32"/>
          <w:szCs w:val="32"/>
        </w:rPr>
        <w:t>，计算方式如下：</w:t>
      </w:r>
    </w:p>
    <w:p w14:paraId="1FA056D5">
      <w:pPr>
        <w:pStyle w:val="2"/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(一）“研发人员人均研发经费支出指标”数值，由“研究与试验发展经费支出”核定数据除以“研究与试验发展人员数”核定数据得到；</w:t>
      </w:r>
    </w:p>
    <w:p w14:paraId="652FEB04">
      <w:pPr>
        <w:pStyle w:val="2"/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(二）“研发经费支出占主营业务收入的比重”数值，由“研究与试验发展经费支出”核定数据除以“主营业务收入”核定数据，再乘以本企业所在行业的行业系数</w:t>
      </w:r>
      <w:r>
        <w:rPr>
          <w:rFonts w:hint="eastAsia" w:ascii="仿宋_GB2312" w:hAnsi="仿宋_GB2312" w:eastAsia="仿宋_GB2312" w:cs="仿宋_GB2312"/>
          <w:sz w:val="32"/>
          <w:szCs w:val="32"/>
        </w:rPr>
        <w:t>和规模系数</w:t>
      </w:r>
      <w:r>
        <w:rPr>
          <w:rFonts w:ascii="仿宋_GB2312" w:hAnsi="仿宋_GB2312" w:eastAsia="仿宋_GB2312" w:cs="仿宋_GB2312"/>
          <w:sz w:val="32"/>
          <w:szCs w:val="32"/>
        </w:rPr>
        <w:t>得到；</w:t>
      </w:r>
    </w:p>
    <w:p w14:paraId="3EBF3E0B">
      <w:pPr>
        <w:pStyle w:val="2"/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(三）“研发人员占职工总数的比重”数值，由“研究与试验</w:t>
      </w:r>
      <w:r>
        <w:rPr>
          <w:rFonts w:hint="eastAsia" w:ascii="仿宋_GB2312" w:hAnsi="仿宋_GB2312" w:eastAsia="仿宋_GB2312" w:cs="仿宋_GB2312"/>
          <w:sz w:val="32"/>
          <w:szCs w:val="32"/>
        </w:rPr>
        <w:t>发展人员数”核定数据除以“企业职工总数”核定数据得到；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 w14:paraId="49BBF50D">
      <w:pPr>
        <w:pStyle w:val="2"/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</w:rPr>
        <w:t>四</w:t>
      </w:r>
      <w:r>
        <w:rPr>
          <w:rFonts w:ascii="仿宋_GB2312" w:hAnsi="仿宋_GB2312" w:eastAsia="仿宋_GB2312" w:cs="仿宋_GB2312"/>
          <w:sz w:val="32"/>
          <w:szCs w:val="32"/>
        </w:rPr>
        <w:t>）“新产品销售收入占主营业务收入的比重”数值，由“新产品销售收入”核定数据除以“主营业务收入”核定数据，再乘以本企业所在行业的行业系数得到；</w:t>
      </w:r>
    </w:p>
    <w:p w14:paraId="4AB4D162">
      <w:pPr>
        <w:pStyle w:val="2"/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</w:rPr>
        <w:t>五</w:t>
      </w:r>
      <w:r>
        <w:rPr>
          <w:rFonts w:ascii="仿宋_GB2312" w:hAnsi="仿宋_GB2312" w:eastAsia="仿宋_GB2312" w:cs="仿宋_GB2312"/>
          <w:sz w:val="32"/>
          <w:szCs w:val="32"/>
        </w:rPr>
        <w:t>）“新产品销售利润占利润总额的比重”数值，由“新产品销售利润”核定数据除以“利润总额”核定数据，再乘以本企业所在行业的行业系数得到；</w:t>
      </w:r>
    </w:p>
    <w:p w14:paraId="15D17864">
      <w:pPr>
        <w:pStyle w:val="2"/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</w:rPr>
        <w:t>六</w:t>
      </w:r>
      <w:r>
        <w:rPr>
          <w:rFonts w:ascii="仿宋_GB2312" w:hAnsi="仿宋_GB2312" w:eastAsia="仿宋_GB2312" w:cs="仿宋_GB2312"/>
          <w:sz w:val="32"/>
          <w:szCs w:val="32"/>
        </w:rPr>
        <w:t>）“利润率”数值，由“利润总额”核定数据除以“主营业务收入”核定数据得到。</w:t>
      </w:r>
    </w:p>
    <w:p w14:paraId="20045B5D">
      <w:pPr>
        <w:pStyle w:val="2"/>
        <w:spacing w:line="500" w:lineRule="exact"/>
        <w:ind w:firstLine="643" w:firstLineChars="200"/>
        <w:rPr>
          <w:rFonts w:ascii="黑体" w:hAnsi="黑体" w:cs="仿宋_GB2312"/>
          <w:b/>
          <w:sz w:val="32"/>
          <w:szCs w:val="32"/>
        </w:rPr>
      </w:pPr>
      <w:r>
        <w:rPr>
          <w:rFonts w:hint="eastAsia" w:ascii="黑体" w:hAnsi="黑体" w:cs="仿宋_GB2312"/>
          <w:b/>
          <w:sz w:val="32"/>
          <w:szCs w:val="32"/>
        </w:rPr>
        <w:t>三、得分计算方法</w:t>
      </w:r>
    </w:p>
    <w:p w14:paraId="6231B9C1">
      <w:pPr>
        <w:pStyle w:val="2"/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获得《上海市市级企业技术中心评价指标体系》中各项指标的数值后，根据基本要求、满分要求以及相应的计算规则，计算出各项指标的得分，其总和就是该企业的评价得分。</w:t>
      </w:r>
    </w:p>
    <w:p w14:paraId="13A58012">
      <w:pPr>
        <w:pStyle w:val="2"/>
        <w:spacing w:line="500" w:lineRule="exact"/>
        <w:ind w:firstLine="643" w:firstLineChars="200"/>
        <w:rPr>
          <w:rFonts w:ascii="黑体" w:hAnsi="黑体" w:cs="仿宋_GB2312"/>
          <w:b/>
          <w:sz w:val="32"/>
          <w:szCs w:val="32"/>
        </w:rPr>
      </w:pPr>
      <w:r>
        <w:rPr>
          <w:rFonts w:hint="eastAsia" w:ascii="黑体" w:hAnsi="黑体" w:cs="仿宋_GB2312"/>
          <w:b/>
          <w:sz w:val="32"/>
          <w:szCs w:val="32"/>
        </w:rPr>
        <w:t>（一）</w:t>
      </w:r>
      <w:r>
        <w:rPr>
          <w:rFonts w:ascii="黑体" w:hAnsi="黑体" w:cs="仿宋_GB2312"/>
          <w:b/>
          <w:sz w:val="32"/>
          <w:szCs w:val="32"/>
        </w:rPr>
        <w:t>关于各项指标的基本要求和满分要求</w:t>
      </w:r>
    </w:p>
    <w:p w14:paraId="1253ED4D">
      <w:pPr>
        <w:pStyle w:val="2"/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各项指标的基本要求、满分要求，由已认定上海市市级企业技术中心历史数据测算得到，并根据上海市市级企业技术中心创新发展总体情况进行动态调整。当前基本要求、满分要求的数值见下表。</w:t>
      </w:r>
    </w:p>
    <w:p w14:paraId="22CE1052">
      <w:pPr>
        <w:jc w:val="center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表 各项指标基本要求和满分要求</w:t>
      </w:r>
    </w:p>
    <w:tbl>
      <w:tblPr>
        <w:tblStyle w:val="7"/>
        <w:tblW w:w="94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42"/>
        <w:gridCol w:w="709"/>
        <w:gridCol w:w="2648"/>
        <w:gridCol w:w="637"/>
        <w:gridCol w:w="623"/>
        <w:gridCol w:w="1873"/>
        <w:gridCol w:w="1505"/>
      </w:tblGrid>
      <w:tr w14:paraId="49049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  <w:jc w:val="center"/>
        </w:trPr>
        <w:tc>
          <w:tcPr>
            <w:tcW w:w="709" w:type="dxa"/>
            <w:vAlign w:val="center"/>
          </w:tcPr>
          <w:p w14:paraId="343AD5A8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6"/>
                <w:szCs w:val="21"/>
              </w:rPr>
              <w:t>一级指标</w:t>
            </w:r>
          </w:p>
        </w:tc>
        <w:tc>
          <w:tcPr>
            <w:tcW w:w="742" w:type="dxa"/>
            <w:vAlign w:val="center"/>
          </w:tcPr>
          <w:p w14:paraId="50236938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6"/>
                <w:szCs w:val="21"/>
              </w:rPr>
              <w:t>二级指标</w:t>
            </w:r>
          </w:p>
        </w:tc>
        <w:tc>
          <w:tcPr>
            <w:tcW w:w="709" w:type="dxa"/>
            <w:vAlign w:val="center"/>
          </w:tcPr>
          <w:p w14:paraId="7988655A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6"/>
                <w:szCs w:val="21"/>
              </w:rPr>
              <w:t>权重</w:t>
            </w:r>
          </w:p>
        </w:tc>
        <w:tc>
          <w:tcPr>
            <w:tcW w:w="2648" w:type="dxa"/>
            <w:vAlign w:val="center"/>
          </w:tcPr>
          <w:p w14:paraId="00A53000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6"/>
                <w:szCs w:val="21"/>
              </w:rPr>
              <w:t>三级指标</w:t>
            </w:r>
          </w:p>
        </w:tc>
        <w:tc>
          <w:tcPr>
            <w:tcW w:w="637" w:type="dxa"/>
            <w:vAlign w:val="center"/>
          </w:tcPr>
          <w:p w14:paraId="5C2F1EAE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6"/>
                <w:szCs w:val="21"/>
              </w:rPr>
              <w:t>单位</w:t>
            </w:r>
          </w:p>
        </w:tc>
        <w:tc>
          <w:tcPr>
            <w:tcW w:w="623" w:type="dxa"/>
            <w:vAlign w:val="center"/>
          </w:tcPr>
          <w:p w14:paraId="16B8D946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6"/>
                <w:szCs w:val="21"/>
              </w:rPr>
              <w:t>权重</w:t>
            </w:r>
          </w:p>
        </w:tc>
        <w:tc>
          <w:tcPr>
            <w:tcW w:w="1873" w:type="dxa"/>
            <w:vAlign w:val="center"/>
          </w:tcPr>
          <w:p w14:paraId="4C740C20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6"/>
                <w:szCs w:val="21"/>
              </w:rPr>
              <w:t>基本要求</w:t>
            </w:r>
          </w:p>
        </w:tc>
        <w:tc>
          <w:tcPr>
            <w:tcW w:w="1505" w:type="dxa"/>
            <w:vAlign w:val="center"/>
          </w:tcPr>
          <w:p w14:paraId="1B01FC39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6"/>
                <w:szCs w:val="21"/>
              </w:rPr>
              <w:t>满分标准</w:t>
            </w:r>
          </w:p>
        </w:tc>
      </w:tr>
      <w:tr w14:paraId="349FE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09" w:type="dxa"/>
            <w:vMerge w:val="restart"/>
            <w:vAlign w:val="center"/>
          </w:tcPr>
          <w:p w14:paraId="50934CBB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创新投入</w:t>
            </w:r>
          </w:p>
        </w:tc>
        <w:tc>
          <w:tcPr>
            <w:tcW w:w="742" w:type="dxa"/>
            <w:vMerge w:val="restart"/>
            <w:vAlign w:val="center"/>
          </w:tcPr>
          <w:p w14:paraId="3DF37E05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创新经费</w:t>
            </w:r>
          </w:p>
        </w:tc>
        <w:tc>
          <w:tcPr>
            <w:tcW w:w="709" w:type="dxa"/>
            <w:vMerge w:val="restart"/>
            <w:vAlign w:val="center"/>
          </w:tcPr>
          <w:p w14:paraId="413668B9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28</w:t>
            </w:r>
          </w:p>
        </w:tc>
        <w:tc>
          <w:tcPr>
            <w:tcW w:w="2648" w:type="dxa"/>
            <w:vAlign w:val="center"/>
          </w:tcPr>
          <w:p w14:paraId="5F5C520E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研发人员人均研发经费支出</w:t>
            </w:r>
          </w:p>
        </w:tc>
        <w:tc>
          <w:tcPr>
            <w:tcW w:w="637" w:type="dxa"/>
            <w:vAlign w:val="center"/>
          </w:tcPr>
          <w:p w14:paraId="73C4BC8C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千元</w:t>
            </w:r>
          </w:p>
        </w:tc>
        <w:tc>
          <w:tcPr>
            <w:tcW w:w="623" w:type="dxa"/>
            <w:vAlign w:val="center"/>
          </w:tcPr>
          <w:p w14:paraId="5D82426A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12</w:t>
            </w:r>
          </w:p>
        </w:tc>
        <w:tc>
          <w:tcPr>
            <w:tcW w:w="1873" w:type="dxa"/>
            <w:vAlign w:val="center"/>
          </w:tcPr>
          <w:p w14:paraId="693ACA93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≥180</w:t>
            </w:r>
          </w:p>
        </w:tc>
        <w:tc>
          <w:tcPr>
            <w:tcW w:w="1505" w:type="dxa"/>
            <w:vAlign w:val="center"/>
          </w:tcPr>
          <w:p w14:paraId="0F7A6317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87</w:t>
            </w:r>
            <w:r>
              <w:rPr>
                <w:rFonts w:ascii="仿宋_GB2312" w:hAnsi="仿宋_GB2312" w:eastAsia="仿宋_GB2312" w:cs="仿宋_GB2312"/>
                <w:spacing w:val="-6"/>
                <w:szCs w:val="21"/>
              </w:rPr>
              <w:t>0</w:t>
            </w:r>
          </w:p>
        </w:tc>
      </w:tr>
      <w:tr w14:paraId="4C20B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09" w:type="dxa"/>
            <w:vMerge w:val="continue"/>
            <w:vAlign w:val="center"/>
          </w:tcPr>
          <w:p w14:paraId="75E421FC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4BF8B223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ED6D0A5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2648" w:type="dxa"/>
            <w:vAlign w:val="center"/>
          </w:tcPr>
          <w:p w14:paraId="320EFAF2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研发经费支出占主营业务收入的比重</w:t>
            </w:r>
          </w:p>
        </w:tc>
        <w:tc>
          <w:tcPr>
            <w:tcW w:w="637" w:type="dxa"/>
            <w:vAlign w:val="center"/>
          </w:tcPr>
          <w:p w14:paraId="03BDE7D1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%</w:t>
            </w:r>
          </w:p>
        </w:tc>
        <w:tc>
          <w:tcPr>
            <w:tcW w:w="623" w:type="dxa"/>
            <w:vAlign w:val="center"/>
          </w:tcPr>
          <w:p w14:paraId="2772DE7F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16</w:t>
            </w:r>
          </w:p>
        </w:tc>
        <w:tc>
          <w:tcPr>
            <w:tcW w:w="1873" w:type="dxa"/>
            <w:vAlign w:val="center"/>
          </w:tcPr>
          <w:p w14:paraId="7CCE6FFF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≥3（乘以规模系数和行业系数后）</w:t>
            </w:r>
          </w:p>
        </w:tc>
        <w:tc>
          <w:tcPr>
            <w:tcW w:w="1505" w:type="dxa"/>
            <w:vAlign w:val="center"/>
          </w:tcPr>
          <w:p w14:paraId="16AB7CE1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2</w:t>
            </w:r>
            <w:r>
              <w:rPr>
                <w:rFonts w:ascii="仿宋_GB2312" w:hAnsi="仿宋_GB2312" w:eastAsia="仿宋_GB2312" w:cs="仿宋_GB2312"/>
                <w:spacing w:val="-6"/>
                <w:szCs w:val="21"/>
              </w:rPr>
              <w:t>0</w:t>
            </w:r>
          </w:p>
        </w:tc>
      </w:tr>
      <w:tr w14:paraId="6820D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09" w:type="dxa"/>
            <w:vMerge w:val="continue"/>
            <w:vAlign w:val="center"/>
          </w:tcPr>
          <w:p w14:paraId="1D668581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011C6DCC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创新人才</w:t>
            </w:r>
          </w:p>
        </w:tc>
        <w:tc>
          <w:tcPr>
            <w:tcW w:w="709" w:type="dxa"/>
            <w:vMerge w:val="restart"/>
            <w:vAlign w:val="center"/>
          </w:tcPr>
          <w:p w14:paraId="3AACECF9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16</w:t>
            </w:r>
          </w:p>
        </w:tc>
        <w:tc>
          <w:tcPr>
            <w:tcW w:w="2648" w:type="dxa"/>
            <w:vAlign w:val="center"/>
          </w:tcPr>
          <w:p w14:paraId="170BD956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研发人员占企业职工总数的比重</w:t>
            </w:r>
          </w:p>
        </w:tc>
        <w:tc>
          <w:tcPr>
            <w:tcW w:w="637" w:type="dxa"/>
            <w:vAlign w:val="center"/>
          </w:tcPr>
          <w:p w14:paraId="3C9D851F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%</w:t>
            </w:r>
          </w:p>
        </w:tc>
        <w:tc>
          <w:tcPr>
            <w:tcW w:w="623" w:type="dxa"/>
            <w:vAlign w:val="center"/>
          </w:tcPr>
          <w:p w14:paraId="0208B7AE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10</w:t>
            </w:r>
          </w:p>
        </w:tc>
        <w:tc>
          <w:tcPr>
            <w:tcW w:w="1873" w:type="dxa"/>
            <w:vAlign w:val="center"/>
          </w:tcPr>
          <w:p w14:paraId="237B3148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≥7</w:t>
            </w:r>
          </w:p>
        </w:tc>
        <w:tc>
          <w:tcPr>
            <w:tcW w:w="1505" w:type="dxa"/>
            <w:vAlign w:val="center"/>
          </w:tcPr>
          <w:p w14:paraId="481E4AEF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6</w:t>
            </w:r>
            <w:r>
              <w:rPr>
                <w:rFonts w:ascii="仿宋_GB2312" w:hAnsi="仿宋_GB2312" w:eastAsia="仿宋_GB2312" w:cs="仿宋_GB2312"/>
                <w:spacing w:val="-6"/>
                <w:szCs w:val="21"/>
              </w:rPr>
              <w:t>0</w:t>
            </w:r>
          </w:p>
        </w:tc>
      </w:tr>
      <w:tr w14:paraId="4ABDE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09" w:type="dxa"/>
            <w:vMerge w:val="continue"/>
            <w:vAlign w:val="center"/>
          </w:tcPr>
          <w:p w14:paraId="503B7E02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155DF6AF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0CD56E3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2648" w:type="dxa"/>
            <w:vAlign w:val="center"/>
          </w:tcPr>
          <w:p w14:paraId="708B2EF5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技术中心拥有的高层次人才数</w:t>
            </w:r>
          </w:p>
        </w:tc>
        <w:tc>
          <w:tcPr>
            <w:tcW w:w="637" w:type="dxa"/>
            <w:vAlign w:val="center"/>
          </w:tcPr>
          <w:p w14:paraId="26956DCF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人</w:t>
            </w:r>
          </w:p>
        </w:tc>
        <w:tc>
          <w:tcPr>
            <w:tcW w:w="623" w:type="dxa"/>
            <w:vAlign w:val="center"/>
          </w:tcPr>
          <w:p w14:paraId="4DA25AF7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4</w:t>
            </w:r>
          </w:p>
        </w:tc>
        <w:tc>
          <w:tcPr>
            <w:tcW w:w="1873" w:type="dxa"/>
            <w:vAlign w:val="center"/>
          </w:tcPr>
          <w:p w14:paraId="68889B7B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≥3</w:t>
            </w:r>
          </w:p>
        </w:tc>
        <w:tc>
          <w:tcPr>
            <w:tcW w:w="1505" w:type="dxa"/>
            <w:vAlign w:val="center"/>
          </w:tcPr>
          <w:p w14:paraId="5BC1B126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3</w:t>
            </w:r>
            <w:r>
              <w:rPr>
                <w:rFonts w:ascii="仿宋_GB2312" w:hAnsi="仿宋_GB2312" w:eastAsia="仿宋_GB2312" w:cs="仿宋_GB2312"/>
                <w:spacing w:val="-6"/>
                <w:szCs w:val="21"/>
              </w:rPr>
              <w:t>5</w:t>
            </w:r>
          </w:p>
        </w:tc>
      </w:tr>
      <w:tr w14:paraId="38AF7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09" w:type="dxa"/>
            <w:vMerge w:val="continue"/>
            <w:vAlign w:val="center"/>
          </w:tcPr>
          <w:p w14:paraId="72BB0690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0BF7A54C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368D0623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2648" w:type="dxa"/>
            <w:vAlign w:val="center"/>
          </w:tcPr>
          <w:p w14:paraId="5B314906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来技术中心从事研发工作的外部专家工作时间</w:t>
            </w:r>
          </w:p>
        </w:tc>
        <w:tc>
          <w:tcPr>
            <w:tcW w:w="637" w:type="dxa"/>
            <w:vAlign w:val="center"/>
          </w:tcPr>
          <w:p w14:paraId="0CCB62FE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人月</w:t>
            </w:r>
          </w:p>
        </w:tc>
        <w:tc>
          <w:tcPr>
            <w:tcW w:w="623" w:type="dxa"/>
            <w:vAlign w:val="center"/>
          </w:tcPr>
          <w:p w14:paraId="71A16EC1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2</w:t>
            </w:r>
          </w:p>
        </w:tc>
        <w:tc>
          <w:tcPr>
            <w:tcW w:w="1873" w:type="dxa"/>
            <w:vAlign w:val="center"/>
          </w:tcPr>
          <w:p w14:paraId="5922E310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≥5</w:t>
            </w:r>
          </w:p>
        </w:tc>
        <w:tc>
          <w:tcPr>
            <w:tcW w:w="1505" w:type="dxa"/>
            <w:vAlign w:val="center"/>
          </w:tcPr>
          <w:p w14:paraId="2A6DCDE2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3</w:t>
            </w:r>
            <w:r>
              <w:rPr>
                <w:rFonts w:ascii="仿宋_GB2312" w:hAnsi="仿宋_GB2312" w:eastAsia="仿宋_GB2312" w:cs="仿宋_GB2312"/>
                <w:spacing w:val="-6"/>
                <w:szCs w:val="21"/>
              </w:rPr>
              <w:t>0</w:t>
            </w:r>
          </w:p>
        </w:tc>
      </w:tr>
      <w:tr w14:paraId="2F740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09" w:type="dxa"/>
            <w:vMerge w:val="restart"/>
            <w:vAlign w:val="center"/>
          </w:tcPr>
          <w:p w14:paraId="3F1263B8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创新条件</w:t>
            </w:r>
          </w:p>
        </w:tc>
        <w:tc>
          <w:tcPr>
            <w:tcW w:w="742" w:type="dxa"/>
            <w:vMerge w:val="restart"/>
            <w:vAlign w:val="center"/>
          </w:tcPr>
          <w:p w14:paraId="3F886A6D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技术积累</w:t>
            </w:r>
          </w:p>
        </w:tc>
        <w:tc>
          <w:tcPr>
            <w:tcW w:w="709" w:type="dxa"/>
            <w:vMerge w:val="restart"/>
            <w:vAlign w:val="center"/>
          </w:tcPr>
          <w:p w14:paraId="6F67B69B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12</w:t>
            </w:r>
          </w:p>
        </w:tc>
        <w:tc>
          <w:tcPr>
            <w:tcW w:w="2648" w:type="dxa"/>
            <w:vAlign w:val="center"/>
          </w:tcPr>
          <w:p w14:paraId="78D53E6F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企业拥有的全部Ⅰ类知识产权数</w:t>
            </w:r>
          </w:p>
        </w:tc>
        <w:tc>
          <w:tcPr>
            <w:tcW w:w="637" w:type="dxa"/>
            <w:vAlign w:val="center"/>
          </w:tcPr>
          <w:p w14:paraId="27C91858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件</w:t>
            </w:r>
          </w:p>
        </w:tc>
        <w:tc>
          <w:tcPr>
            <w:tcW w:w="623" w:type="dxa"/>
            <w:vAlign w:val="center"/>
          </w:tcPr>
          <w:p w14:paraId="68B7B0B9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6</w:t>
            </w:r>
          </w:p>
        </w:tc>
        <w:tc>
          <w:tcPr>
            <w:tcW w:w="1873" w:type="dxa"/>
            <w:vAlign w:val="center"/>
          </w:tcPr>
          <w:p w14:paraId="6A03915B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≥5</w:t>
            </w:r>
          </w:p>
        </w:tc>
        <w:tc>
          <w:tcPr>
            <w:tcW w:w="1505" w:type="dxa"/>
            <w:vAlign w:val="center"/>
          </w:tcPr>
          <w:p w14:paraId="25EC3C55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5</w:t>
            </w:r>
            <w:r>
              <w:rPr>
                <w:rFonts w:ascii="仿宋_GB2312" w:hAnsi="仿宋_GB2312" w:eastAsia="仿宋_GB2312" w:cs="仿宋_GB2312"/>
                <w:spacing w:val="-6"/>
                <w:szCs w:val="21"/>
              </w:rPr>
              <w:t>5</w:t>
            </w:r>
          </w:p>
        </w:tc>
      </w:tr>
      <w:tr w14:paraId="5B6F3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09" w:type="dxa"/>
            <w:vMerge w:val="continue"/>
            <w:vAlign w:val="center"/>
          </w:tcPr>
          <w:p w14:paraId="106CCF0D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394FE21E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48A25BCF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2648" w:type="dxa"/>
            <w:vAlign w:val="center"/>
          </w:tcPr>
          <w:p w14:paraId="17A8F5E9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企业对外合作项目数</w:t>
            </w:r>
          </w:p>
        </w:tc>
        <w:tc>
          <w:tcPr>
            <w:tcW w:w="637" w:type="dxa"/>
            <w:vAlign w:val="center"/>
          </w:tcPr>
          <w:p w14:paraId="47EE99BA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项</w:t>
            </w:r>
          </w:p>
        </w:tc>
        <w:tc>
          <w:tcPr>
            <w:tcW w:w="623" w:type="dxa"/>
            <w:vAlign w:val="center"/>
          </w:tcPr>
          <w:p w14:paraId="278C433F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3</w:t>
            </w:r>
          </w:p>
        </w:tc>
        <w:tc>
          <w:tcPr>
            <w:tcW w:w="1873" w:type="dxa"/>
            <w:vAlign w:val="center"/>
          </w:tcPr>
          <w:p w14:paraId="4AFC9716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≥1</w:t>
            </w:r>
          </w:p>
        </w:tc>
        <w:tc>
          <w:tcPr>
            <w:tcW w:w="1505" w:type="dxa"/>
            <w:vAlign w:val="center"/>
          </w:tcPr>
          <w:p w14:paraId="573D009B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5</w:t>
            </w:r>
          </w:p>
        </w:tc>
      </w:tr>
      <w:tr w14:paraId="1F86B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09" w:type="dxa"/>
            <w:vMerge w:val="continue"/>
            <w:vAlign w:val="center"/>
          </w:tcPr>
          <w:p w14:paraId="54AEB727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4DB5297C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3A055D7A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2648" w:type="dxa"/>
            <w:vAlign w:val="center"/>
          </w:tcPr>
          <w:p w14:paraId="7ADFEC94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基础研究和应用研究项目数</w:t>
            </w:r>
          </w:p>
        </w:tc>
        <w:tc>
          <w:tcPr>
            <w:tcW w:w="637" w:type="dxa"/>
            <w:vAlign w:val="center"/>
          </w:tcPr>
          <w:p w14:paraId="7B83F31B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项</w:t>
            </w:r>
          </w:p>
        </w:tc>
        <w:tc>
          <w:tcPr>
            <w:tcW w:w="623" w:type="dxa"/>
            <w:vAlign w:val="center"/>
          </w:tcPr>
          <w:p w14:paraId="10125111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3</w:t>
            </w:r>
          </w:p>
        </w:tc>
        <w:tc>
          <w:tcPr>
            <w:tcW w:w="1873" w:type="dxa"/>
            <w:vAlign w:val="center"/>
          </w:tcPr>
          <w:p w14:paraId="29BCAF33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≥1</w:t>
            </w:r>
          </w:p>
        </w:tc>
        <w:tc>
          <w:tcPr>
            <w:tcW w:w="1505" w:type="dxa"/>
            <w:vAlign w:val="center"/>
          </w:tcPr>
          <w:p w14:paraId="469A0FF1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5</w:t>
            </w:r>
          </w:p>
        </w:tc>
      </w:tr>
      <w:tr w14:paraId="616DC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09" w:type="dxa"/>
            <w:vMerge w:val="continue"/>
            <w:vAlign w:val="center"/>
          </w:tcPr>
          <w:p w14:paraId="0E910E96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6DE9526D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创新平台</w:t>
            </w:r>
          </w:p>
        </w:tc>
        <w:tc>
          <w:tcPr>
            <w:tcW w:w="709" w:type="dxa"/>
            <w:vMerge w:val="restart"/>
            <w:vAlign w:val="center"/>
          </w:tcPr>
          <w:p w14:paraId="2B0C19CF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12</w:t>
            </w:r>
          </w:p>
        </w:tc>
        <w:tc>
          <w:tcPr>
            <w:tcW w:w="2648" w:type="dxa"/>
            <w:vAlign w:val="center"/>
          </w:tcPr>
          <w:p w14:paraId="0A46D792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企业研究开发仪器设备原值及研发用软件购置费</w:t>
            </w:r>
          </w:p>
        </w:tc>
        <w:tc>
          <w:tcPr>
            <w:tcW w:w="637" w:type="dxa"/>
            <w:vAlign w:val="center"/>
          </w:tcPr>
          <w:p w14:paraId="5AC8A672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千元</w:t>
            </w:r>
          </w:p>
        </w:tc>
        <w:tc>
          <w:tcPr>
            <w:tcW w:w="623" w:type="dxa"/>
            <w:vAlign w:val="center"/>
          </w:tcPr>
          <w:p w14:paraId="5EA65C46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6</w:t>
            </w:r>
          </w:p>
        </w:tc>
        <w:tc>
          <w:tcPr>
            <w:tcW w:w="1873" w:type="dxa"/>
            <w:vAlign w:val="center"/>
          </w:tcPr>
          <w:p w14:paraId="2F2EC2BF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≥10000</w:t>
            </w:r>
          </w:p>
        </w:tc>
        <w:tc>
          <w:tcPr>
            <w:tcW w:w="1505" w:type="dxa"/>
            <w:vAlign w:val="center"/>
          </w:tcPr>
          <w:p w14:paraId="2FF1E0A5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8</w:t>
            </w:r>
            <w:r>
              <w:rPr>
                <w:rFonts w:ascii="仿宋_GB2312" w:hAnsi="仿宋_GB2312" w:eastAsia="仿宋_GB2312" w:cs="仿宋_GB2312"/>
                <w:spacing w:val="-6"/>
                <w:szCs w:val="21"/>
              </w:rPr>
              <w:t>00000</w:t>
            </w:r>
          </w:p>
        </w:tc>
      </w:tr>
      <w:tr w14:paraId="1A3E1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09" w:type="dxa"/>
            <w:vMerge w:val="continue"/>
            <w:vAlign w:val="center"/>
          </w:tcPr>
          <w:p w14:paraId="4ACC9985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262A7369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459A52CB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2648" w:type="dxa"/>
            <w:vAlign w:val="center"/>
          </w:tcPr>
          <w:p w14:paraId="4C6712CE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拥有经认证的研发平台、实验室和检测机构数</w:t>
            </w:r>
          </w:p>
        </w:tc>
        <w:tc>
          <w:tcPr>
            <w:tcW w:w="637" w:type="dxa"/>
            <w:vAlign w:val="center"/>
          </w:tcPr>
          <w:p w14:paraId="2949599B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个</w:t>
            </w:r>
          </w:p>
        </w:tc>
        <w:tc>
          <w:tcPr>
            <w:tcW w:w="623" w:type="dxa"/>
            <w:vAlign w:val="center"/>
          </w:tcPr>
          <w:p w14:paraId="7DFF50F1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4</w:t>
            </w:r>
          </w:p>
        </w:tc>
        <w:tc>
          <w:tcPr>
            <w:tcW w:w="1873" w:type="dxa"/>
            <w:vAlign w:val="center"/>
          </w:tcPr>
          <w:p w14:paraId="46D13240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≥1</w:t>
            </w:r>
          </w:p>
        </w:tc>
        <w:tc>
          <w:tcPr>
            <w:tcW w:w="1505" w:type="dxa"/>
            <w:vAlign w:val="center"/>
          </w:tcPr>
          <w:p w14:paraId="62818F19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4</w:t>
            </w:r>
          </w:p>
        </w:tc>
      </w:tr>
      <w:tr w14:paraId="018E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09" w:type="dxa"/>
            <w:vMerge w:val="continue"/>
            <w:vAlign w:val="center"/>
          </w:tcPr>
          <w:p w14:paraId="5C221A9B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23639270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3DF59C44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2648" w:type="dxa"/>
            <w:vAlign w:val="center"/>
          </w:tcPr>
          <w:p w14:paraId="1278C4C8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技术中心与其他组织合办研发机构数</w:t>
            </w:r>
          </w:p>
        </w:tc>
        <w:tc>
          <w:tcPr>
            <w:tcW w:w="637" w:type="dxa"/>
            <w:vAlign w:val="center"/>
          </w:tcPr>
          <w:p w14:paraId="3E21EB99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个</w:t>
            </w:r>
          </w:p>
        </w:tc>
        <w:tc>
          <w:tcPr>
            <w:tcW w:w="623" w:type="dxa"/>
            <w:vAlign w:val="center"/>
          </w:tcPr>
          <w:p w14:paraId="3658163D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2</w:t>
            </w:r>
          </w:p>
        </w:tc>
        <w:tc>
          <w:tcPr>
            <w:tcW w:w="1873" w:type="dxa"/>
            <w:vAlign w:val="center"/>
          </w:tcPr>
          <w:p w14:paraId="6C59EAD7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≥1</w:t>
            </w:r>
          </w:p>
        </w:tc>
        <w:tc>
          <w:tcPr>
            <w:tcW w:w="1505" w:type="dxa"/>
            <w:vAlign w:val="center"/>
          </w:tcPr>
          <w:p w14:paraId="50931B49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3</w:t>
            </w:r>
          </w:p>
        </w:tc>
      </w:tr>
      <w:tr w14:paraId="3506D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09" w:type="dxa"/>
            <w:vMerge w:val="restart"/>
            <w:vAlign w:val="center"/>
          </w:tcPr>
          <w:p w14:paraId="4A94CD17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创新绩效</w:t>
            </w:r>
          </w:p>
        </w:tc>
        <w:tc>
          <w:tcPr>
            <w:tcW w:w="742" w:type="dxa"/>
            <w:vMerge w:val="restart"/>
            <w:vAlign w:val="center"/>
          </w:tcPr>
          <w:p w14:paraId="498CB7A2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技术产出</w:t>
            </w:r>
          </w:p>
        </w:tc>
        <w:tc>
          <w:tcPr>
            <w:tcW w:w="709" w:type="dxa"/>
            <w:vMerge w:val="restart"/>
            <w:vAlign w:val="center"/>
          </w:tcPr>
          <w:p w14:paraId="366DA3B5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12</w:t>
            </w:r>
          </w:p>
        </w:tc>
        <w:tc>
          <w:tcPr>
            <w:tcW w:w="2648" w:type="dxa"/>
            <w:vAlign w:val="center"/>
          </w:tcPr>
          <w:p w14:paraId="272E3923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当年被受理的Ⅰ类知识产权数申请数</w:t>
            </w:r>
          </w:p>
        </w:tc>
        <w:tc>
          <w:tcPr>
            <w:tcW w:w="637" w:type="dxa"/>
            <w:vAlign w:val="center"/>
          </w:tcPr>
          <w:p w14:paraId="3352BA26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件</w:t>
            </w:r>
          </w:p>
        </w:tc>
        <w:tc>
          <w:tcPr>
            <w:tcW w:w="623" w:type="dxa"/>
            <w:vAlign w:val="center"/>
          </w:tcPr>
          <w:p w14:paraId="07BC13C2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6</w:t>
            </w:r>
          </w:p>
        </w:tc>
        <w:tc>
          <w:tcPr>
            <w:tcW w:w="1873" w:type="dxa"/>
            <w:vAlign w:val="center"/>
          </w:tcPr>
          <w:p w14:paraId="554EA5AF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≥1</w:t>
            </w:r>
          </w:p>
        </w:tc>
        <w:tc>
          <w:tcPr>
            <w:tcW w:w="1505" w:type="dxa"/>
            <w:vAlign w:val="center"/>
          </w:tcPr>
          <w:p w14:paraId="45370ADB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3</w:t>
            </w:r>
            <w:r>
              <w:rPr>
                <w:rFonts w:ascii="仿宋_GB2312" w:hAnsi="仿宋_GB2312" w:eastAsia="仿宋_GB2312" w:cs="仿宋_GB2312"/>
                <w:spacing w:val="-6"/>
                <w:szCs w:val="21"/>
              </w:rPr>
              <w:t>2</w:t>
            </w:r>
          </w:p>
        </w:tc>
      </w:tr>
      <w:tr w14:paraId="67903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09" w:type="dxa"/>
            <w:vMerge w:val="continue"/>
            <w:vAlign w:val="center"/>
          </w:tcPr>
          <w:p w14:paraId="62B4132E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3150C8D8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335C6FC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2648" w:type="dxa"/>
            <w:vAlign w:val="center"/>
          </w:tcPr>
          <w:p w14:paraId="411F7415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当年被受理的PCT专利申请数</w:t>
            </w:r>
          </w:p>
        </w:tc>
        <w:tc>
          <w:tcPr>
            <w:tcW w:w="637" w:type="dxa"/>
            <w:vAlign w:val="center"/>
          </w:tcPr>
          <w:p w14:paraId="6EB52EDB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件</w:t>
            </w:r>
          </w:p>
        </w:tc>
        <w:tc>
          <w:tcPr>
            <w:tcW w:w="623" w:type="dxa"/>
            <w:vAlign w:val="center"/>
          </w:tcPr>
          <w:p w14:paraId="37D3879D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2</w:t>
            </w:r>
          </w:p>
        </w:tc>
        <w:tc>
          <w:tcPr>
            <w:tcW w:w="1873" w:type="dxa"/>
            <w:vAlign w:val="center"/>
          </w:tcPr>
          <w:p w14:paraId="490655D8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≥1</w:t>
            </w:r>
          </w:p>
        </w:tc>
        <w:tc>
          <w:tcPr>
            <w:tcW w:w="1505" w:type="dxa"/>
            <w:vAlign w:val="center"/>
          </w:tcPr>
          <w:p w14:paraId="13182812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2</w:t>
            </w:r>
          </w:p>
        </w:tc>
      </w:tr>
      <w:tr w14:paraId="1B4F2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09" w:type="dxa"/>
            <w:vMerge w:val="continue"/>
            <w:vAlign w:val="center"/>
          </w:tcPr>
          <w:p w14:paraId="23422A17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3C557CE3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36A4E3B6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2648" w:type="dxa"/>
            <w:vAlign w:val="center"/>
          </w:tcPr>
          <w:p w14:paraId="6EC08F63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最近三年主持和参加制定的标准数</w:t>
            </w:r>
          </w:p>
        </w:tc>
        <w:tc>
          <w:tcPr>
            <w:tcW w:w="637" w:type="dxa"/>
            <w:vAlign w:val="center"/>
          </w:tcPr>
          <w:p w14:paraId="6C49B3BC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项</w:t>
            </w:r>
          </w:p>
        </w:tc>
        <w:tc>
          <w:tcPr>
            <w:tcW w:w="623" w:type="dxa"/>
            <w:vAlign w:val="center"/>
          </w:tcPr>
          <w:p w14:paraId="62812D5A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4</w:t>
            </w:r>
          </w:p>
        </w:tc>
        <w:tc>
          <w:tcPr>
            <w:tcW w:w="1873" w:type="dxa"/>
            <w:vAlign w:val="center"/>
          </w:tcPr>
          <w:p w14:paraId="10B5D1DB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≥1</w:t>
            </w:r>
          </w:p>
        </w:tc>
        <w:tc>
          <w:tcPr>
            <w:tcW w:w="1505" w:type="dxa"/>
            <w:vAlign w:val="center"/>
          </w:tcPr>
          <w:p w14:paraId="2A407136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1</w:t>
            </w:r>
            <w:r>
              <w:rPr>
                <w:rFonts w:ascii="仿宋_GB2312" w:hAnsi="仿宋_GB2312" w:eastAsia="仿宋_GB2312" w:cs="仿宋_GB2312"/>
                <w:spacing w:val="-6"/>
                <w:szCs w:val="21"/>
              </w:rPr>
              <w:t>0</w:t>
            </w:r>
          </w:p>
        </w:tc>
      </w:tr>
      <w:tr w14:paraId="038FD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09" w:type="dxa"/>
            <w:vMerge w:val="continue"/>
            <w:vAlign w:val="center"/>
          </w:tcPr>
          <w:p w14:paraId="47AA0B8C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6189C5FC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创新效益</w:t>
            </w:r>
          </w:p>
        </w:tc>
        <w:tc>
          <w:tcPr>
            <w:tcW w:w="709" w:type="dxa"/>
            <w:vMerge w:val="restart"/>
            <w:vAlign w:val="center"/>
          </w:tcPr>
          <w:p w14:paraId="7D7D435D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20</w:t>
            </w:r>
          </w:p>
        </w:tc>
        <w:tc>
          <w:tcPr>
            <w:tcW w:w="2648" w:type="dxa"/>
            <w:vAlign w:val="center"/>
          </w:tcPr>
          <w:p w14:paraId="498E396D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新产品销售收入占主营业务收入的比重</w:t>
            </w:r>
          </w:p>
        </w:tc>
        <w:tc>
          <w:tcPr>
            <w:tcW w:w="637" w:type="dxa"/>
            <w:vAlign w:val="center"/>
          </w:tcPr>
          <w:p w14:paraId="703DE123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%</w:t>
            </w:r>
          </w:p>
        </w:tc>
        <w:tc>
          <w:tcPr>
            <w:tcW w:w="623" w:type="dxa"/>
            <w:vAlign w:val="center"/>
          </w:tcPr>
          <w:p w14:paraId="10F2F40E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8</w:t>
            </w:r>
          </w:p>
        </w:tc>
        <w:tc>
          <w:tcPr>
            <w:tcW w:w="1873" w:type="dxa"/>
            <w:vAlign w:val="center"/>
          </w:tcPr>
          <w:p w14:paraId="538965C5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≥20（乘以行业系数后）</w:t>
            </w:r>
          </w:p>
        </w:tc>
        <w:tc>
          <w:tcPr>
            <w:tcW w:w="1505" w:type="dxa"/>
            <w:vAlign w:val="center"/>
          </w:tcPr>
          <w:p w14:paraId="5912289B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6</w:t>
            </w:r>
            <w:r>
              <w:rPr>
                <w:rFonts w:ascii="仿宋_GB2312" w:hAnsi="仿宋_GB2312" w:eastAsia="仿宋_GB2312" w:cs="仿宋_GB2312"/>
                <w:spacing w:val="-6"/>
                <w:szCs w:val="21"/>
              </w:rPr>
              <w:t>0</w:t>
            </w:r>
          </w:p>
        </w:tc>
      </w:tr>
      <w:tr w14:paraId="42AFA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09" w:type="dxa"/>
            <w:vMerge w:val="continue"/>
            <w:vAlign w:val="center"/>
          </w:tcPr>
          <w:p w14:paraId="3F59FF20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7A9D47C9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7ED7F010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2648" w:type="dxa"/>
            <w:vAlign w:val="center"/>
          </w:tcPr>
          <w:p w14:paraId="3D21945E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新产品销售利润占利润总额的比重</w:t>
            </w:r>
          </w:p>
        </w:tc>
        <w:tc>
          <w:tcPr>
            <w:tcW w:w="637" w:type="dxa"/>
            <w:vAlign w:val="center"/>
          </w:tcPr>
          <w:p w14:paraId="4C45AC0B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%</w:t>
            </w:r>
          </w:p>
        </w:tc>
        <w:tc>
          <w:tcPr>
            <w:tcW w:w="623" w:type="dxa"/>
            <w:vAlign w:val="center"/>
          </w:tcPr>
          <w:p w14:paraId="27E6104B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7</w:t>
            </w:r>
          </w:p>
        </w:tc>
        <w:tc>
          <w:tcPr>
            <w:tcW w:w="1873" w:type="dxa"/>
            <w:vAlign w:val="center"/>
          </w:tcPr>
          <w:p w14:paraId="400BCF1C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≥15（乘以行业系数后）</w:t>
            </w:r>
          </w:p>
        </w:tc>
        <w:tc>
          <w:tcPr>
            <w:tcW w:w="1505" w:type="dxa"/>
            <w:vAlign w:val="center"/>
          </w:tcPr>
          <w:p w14:paraId="2015320D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6</w:t>
            </w:r>
            <w:r>
              <w:rPr>
                <w:rFonts w:ascii="仿宋_GB2312" w:hAnsi="仿宋_GB2312" w:eastAsia="仿宋_GB2312" w:cs="仿宋_GB2312"/>
                <w:spacing w:val="-6"/>
                <w:szCs w:val="21"/>
              </w:rPr>
              <w:t>0</w:t>
            </w:r>
          </w:p>
        </w:tc>
      </w:tr>
      <w:tr w14:paraId="25FC1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09" w:type="dxa"/>
            <w:vMerge w:val="continue"/>
            <w:vAlign w:val="center"/>
          </w:tcPr>
          <w:p w14:paraId="68B89B94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0D356A50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53C47F7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2648" w:type="dxa"/>
            <w:vAlign w:val="center"/>
          </w:tcPr>
          <w:p w14:paraId="04A1C4D2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利润率</w:t>
            </w:r>
          </w:p>
        </w:tc>
        <w:tc>
          <w:tcPr>
            <w:tcW w:w="637" w:type="dxa"/>
            <w:vAlign w:val="center"/>
          </w:tcPr>
          <w:p w14:paraId="4D0869F4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%</w:t>
            </w:r>
          </w:p>
        </w:tc>
        <w:tc>
          <w:tcPr>
            <w:tcW w:w="623" w:type="dxa"/>
            <w:vAlign w:val="center"/>
          </w:tcPr>
          <w:p w14:paraId="56D5A249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5</w:t>
            </w:r>
          </w:p>
        </w:tc>
        <w:tc>
          <w:tcPr>
            <w:tcW w:w="1873" w:type="dxa"/>
            <w:vAlign w:val="center"/>
          </w:tcPr>
          <w:p w14:paraId="5CBFB2E5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≥5</w:t>
            </w:r>
          </w:p>
        </w:tc>
        <w:tc>
          <w:tcPr>
            <w:tcW w:w="1505" w:type="dxa"/>
            <w:vAlign w:val="center"/>
          </w:tcPr>
          <w:p w14:paraId="413ED601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3</w:t>
            </w:r>
            <w:r>
              <w:rPr>
                <w:rFonts w:ascii="仿宋_GB2312" w:hAnsi="仿宋_GB2312" w:eastAsia="仿宋_GB2312" w:cs="仿宋_GB2312"/>
                <w:spacing w:val="-6"/>
                <w:szCs w:val="21"/>
              </w:rPr>
              <w:t>0</w:t>
            </w:r>
          </w:p>
        </w:tc>
      </w:tr>
      <w:tr w14:paraId="74BF1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09" w:type="dxa"/>
            <w:vMerge w:val="restart"/>
            <w:vAlign w:val="center"/>
          </w:tcPr>
          <w:p w14:paraId="534DB764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加分</w:t>
            </w:r>
          </w:p>
        </w:tc>
        <w:tc>
          <w:tcPr>
            <w:tcW w:w="742" w:type="dxa"/>
            <w:vMerge w:val="restart"/>
            <w:vAlign w:val="center"/>
          </w:tcPr>
          <w:p w14:paraId="67816206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加分</w:t>
            </w:r>
          </w:p>
        </w:tc>
        <w:tc>
          <w:tcPr>
            <w:tcW w:w="709" w:type="dxa"/>
            <w:vMerge w:val="restart"/>
            <w:vAlign w:val="center"/>
          </w:tcPr>
          <w:p w14:paraId="699A7331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20</w:t>
            </w:r>
          </w:p>
        </w:tc>
        <w:tc>
          <w:tcPr>
            <w:tcW w:w="2648" w:type="dxa"/>
            <w:vAlign w:val="center"/>
          </w:tcPr>
          <w:p w14:paraId="65421808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近两年获国家、省（市）部级或行业奖励数</w:t>
            </w:r>
          </w:p>
        </w:tc>
        <w:tc>
          <w:tcPr>
            <w:tcW w:w="637" w:type="dxa"/>
            <w:vAlign w:val="center"/>
          </w:tcPr>
          <w:p w14:paraId="33A0E710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项</w:t>
            </w:r>
          </w:p>
        </w:tc>
        <w:tc>
          <w:tcPr>
            <w:tcW w:w="623" w:type="dxa"/>
            <w:vAlign w:val="center"/>
          </w:tcPr>
          <w:p w14:paraId="3ECD29D4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≤3</w:t>
            </w:r>
          </w:p>
        </w:tc>
        <w:tc>
          <w:tcPr>
            <w:tcW w:w="1873" w:type="dxa"/>
            <w:vAlign w:val="center"/>
          </w:tcPr>
          <w:p w14:paraId="75FAC832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国家奖励一个加2分；省部级或行业奖励一个加1分</w:t>
            </w:r>
          </w:p>
        </w:tc>
        <w:tc>
          <w:tcPr>
            <w:tcW w:w="1505" w:type="dxa"/>
            <w:vAlign w:val="center"/>
          </w:tcPr>
          <w:p w14:paraId="30DF16A2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</w:tr>
      <w:tr w14:paraId="5CE76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09" w:type="dxa"/>
            <w:vMerge w:val="continue"/>
            <w:vAlign w:val="center"/>
          </w:tcPr>
          <w:p w14:paraId="61A90ABE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2D0E183B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0C456EB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2648" w:type="dxa"/>
            <w:vAlign w:val="center"/>
          </w:tcPr>
          <w:p w14:paraId="574733C9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近两年承担市级以上专项数</w:t>
            </w:r>
          </w:p>
        </w:tc>
        <w:tc>
          <w:tcPr>
            <w:tcW w:w="637" w:type="dxa"/>
            <w:vAlign w:val="center"/>
          </w:tcPr>
          <w:p w14:paraId="619A8B9F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项</w:t>
            </w:r>
          </w:p>
        </w:tc>
        <w:tc>
          <w:tcPr>
            <w:tcW w:w="623" w:type="dxa"/>
            <w:vAlign w:val="center"/>
          </w:tcPr>
          <w:p w14:paraId="00EB384B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≤5</w:t>
            </w:r>
          </w:p>
        </w:tc>
        <w:tc>
          <w:tcPr>
            <w:tcW w:w="1873" w:type="dxa"/>
            <w:vAlign w:val="center"/>
          </w:tcPr>
          <w:p w14:paraId="5ADB4D71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国家专项加2分；</w:t>
            </w:r>
          </w:p>
          <w:p w14:paraId="2A36CABC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省市级专项加1分</w:t>
            </w:r>
          </w:p>
        </w:tc>
        <w:tc>
          <w:tcPr>
            <w:tcW w:w="1505" w:type="dxa"/>
            <w:vAlign w:val="center"/>
          </w:tcPr>
          <w:p w14:paraId="130C55B5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</w:tr>
      <w:tr w14:paraId="7ED6A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09" w:type="dxa"/>
            <w:vMerge w:val="continue"/>
            <w:vAlign w:val="center"/>
          </w:tcPr>
          <w:p w14:paraId="344A8A67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2AAC7380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34D7C66C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2648" w:type="dxa"/>
            <w:vAlign w:val="center"/>
          </w:tcPr>
          <w:p w14:paraId="54E3FDAB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企业拥有的全部有效国际专利数</w:t>
            </w:r>
          </w:p>
        </w:tc>
        <w:tc>
          <w:tcPr>
            <w:tcW w:w="637" w:type="dxa"/>
            <w:vAlign w:val="center"/>
          </w:tcPr>
          <w:p w14:paraId="49875A31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件</w:t>
            </w:r>
          </w:p>
        </w:tc>
        <w:tc>
          <w:tcPr>
            <w:tcW w:w="623" w:type="dxa"/>
            <w:vAlign w:val="center"/>
          </w:tcPr>
          <w:p w14:paraId="689BF82B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≤4</w:t>
            </w:r>
          </w:p>
        </w:tc>
        <w:tc>
          <w:tcPr>
            <w:tcW w:w="1873" w:type="dxa"/>
            <w:vAlign w:val="center"/>
          </w:tcPr>
          <w:p w14:paraId="428C78D1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每有一个加1分</w:t>
            </w:r>
          </w:p>
        </w:tc>
        <w:tc>
          <w:tcPr>
            <w:tcW w:w="1505" w:type="dxa"/>
            <w:vAlign w:val="center"/>
          </w:tcPr>
          <w:p w14:paraId="2203B2AF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</w:tr>
      <w:tr w14:paraId="3AE82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09" w:type="dxa"/>
            <w:vMerge w:val="continue"/>
            <w:vAlign w:val="center"/>
          </w:tcPr>
          <w:p w14:paraId="0BC5C034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3C6B44A9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7A35E2F4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2648" w:type="dxa"/>
            <w:vAlign w:val="center"/>
          </w:tcPr>
          <w:p w14:paraId="0050A980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企业拥有高质量专利数</w:t>
            </w:r>
          </w:p>
        </w:tc>
        <w:tc>
          <w:tcPr>
            <w:tcW w:w="637" w:type="dxa"/>
            <w:vAlign w:val="center"/>
          </w:tcPr>
          <w:p w14:paraId="3183348B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件</w:t>
            </w:r>
          </w:p>
        </w:tc>
        <w:tc>
          <w:tcPr>
            <w:tcW w:w="623" w:type="dxa"/>
            <w:vAlign w:val="center"/>
          </w:tcPr>
          <w:p w14:paraId="11839650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≤4</w:t>
            </w:r>
          </w:p>
        </w:tc>
        <w:tc>
          <w:tcPr>
            <w:tcW w:w="1873" w:type="dxa"/>
            <w:vAlign w:val="center"/>
          </w:tcPr>
          <w:p w14:paraId="002A2673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每有一个加1分</w:t>
            </w:r>
          </w:p>
        </w:tc>
        <w:tc>
          <w:tcPr>
            <w:tcW w:w="1505" w:type="dxa"/>
            <w:vAlign w:val="center"/>
          </w:tcPr>
          <w:p w14:paraId="6C11C3C5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</w:tr>
      <w:tr w14:paraId="3A839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09" w:type="dxa"/>
            <w:vMerge w:val="continue"/>
            <w:vAlign w:val="center"/>
          </w:tcPr>
          <w:p w14:paraId="780DBE8C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4254093B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2CF2E664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2648" w:type="dxa"/>
            <w:vAlign w:val="center"/>
          </w:tcPr>
          <w:p w14:paraId="7D7D4884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技术中心在境外设立研发机构数</w:t>
            </w:r>
          </w:p>
        </w:tc>
        <w:tc>
          <w:tcPr>
            <w:tcW w:w="637" w:type="dxa"/>
            <w:vAlign w:val="center"/>
          </w:tcPr>
          <w:p w14:paraId="4A53E704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个</w:t>
            </w:r>
          </w:p>
        </w:tc>
        <w:tc>
          <w:tcPr>
            <w:tcW w:w="623" w:type="dxa"/>
            <w:vAlign w:val="center"/>
          </w:tcPr>
          <w:p w14:paraId="0FD2500F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≤2</w:t>
            </w:r>
          </w:p>
        </w:tc>
        <w:tc>
          <w:tcPr>
            <w:tcW w:w="1873" w:type="dxa"/>
            <w:vAlign w:val="center"/>
          </w:tcPr>
          <w:p w14:paraId="12560D7E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每有一个加1分</w:t>
            </w:r>
          </w:p>
        </w:tc>
        <w:tc>
          <w:tcPr>
            <w:tcW w:w="1505" w:type="dxa"/>
            <w:vAlign w:val="center"/>
          </w:tcPr>
          <w:p w14:paraId="0A505D8A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</w:tr>
      <w:tr w14:paraId="3622D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09" w:type="dxa"/>
            <w:vMerge w:val="continue"/>
            <w:vAlign w:val="center"/>
          </w:tcPr>
          <w:p w14:paraId="6670AC36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0B8B903A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428B72C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2648" w:type="dxa"/>
            <w:vAlign w:val="center"/>
          </w:tcPr>
          <w:p w14:paraId="2907CC02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企业参与长三角区域合作项目数</w:t>
            </w:r>
          </w:p>
        </w:tc>
        <w:tc>
          <w:tcPr>
            <w:tcW w:w="637" w:type="dxa"/>
            <w:vAlign w:val="center"/>
          </w:tcPr>
          <w:p w14:paraId="2B2A24F8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个</w:t>
            </w:r>
          </w:p>
        </w:tc>
        <w:tc>
          <w:tcPr>
            <w:tcW w:w="623" w:type="dxa"/>
            <w:vAlign w:val="center"/>
          </w:tcPr>
          <w:p w14:paraId="0AD9196F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≤2</w:t>
            </w:r>
          </w:p>
        </w:tc>
        <w:tc>
          <w:tcPr>
            <w:tcW w:w="1873" w:type="dxa"/>
            <w:vAlign w:val="center"/>
          </w:tcPr>
          <w:p w14:paraId="45B17AE9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每有一个加1分</w:t>
            </w:r>
          </w:p>
        </w:tc>
        <w:tc>
          <w:tcPr>
            <w:tcW w:w="1505" w:type="dxa"/>
            <w:vAlign w:val="center"/>
          </w:tcPr>
          <w:p w14:paraId="44C51057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</w:tr>
      <w:tr w14:paraId="4FB88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09" w:type="dxa"/>
            <w:vAlign w:val="center"/>
          </w:tcPr>
          <w:p w14:paraId="7159DB64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减分</w:t>
            </w:r>
          </w:p>
        </w:tc>
        <w:tc>
          <w:tcPr>
            <w:tcW w:w="742" w:type="dxa"/>
            <w:vAlign w:val="center"/>
          </w:tcPr>
          <w:p w14:paraId="1F4291AD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减分</w:t>
            </w:r>
          </w:p>
        </w:tc>
        <w:tc>
          <w:tcPr>
            <w:tcW w:w="709" w:type="dxa"/>
            <w:vAlign w:val="center"/>
          </w:tcPr>
          <w:p w14:paraId="57DB678C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6</w:t>
            </w:r>
          </w:p>
        </w:tc>
        <w:tc>
          <w:tcPr>
            <w:tcW w:w="2648" w:type="dxa"/>
            <w:vAlign w:val="center"/>
          </w:tcPr>
          <w:p w14:paraId="17204D90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未提交快报材料</w:t>
            </w:r>
          </w:p>
        </w:tc>
        <w:tc>
          <w:tcPr>
            <w:tcW w:w="637" w:type="dxa"/>
            <w:vAlign w:val="center"/>
          </w:tcPr>
          <w:p w14:paraId="4D4C4FC6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次</w:t>
            </w:r>
          </w:p>
        </w:tc>
        <w:tc>
          <w:tcPr>
            <w:tcW w:w="623" w:type="dxa"/>
            <w:vAlign w:val="center"/>
          </w:tcPr>
          <w:p w14:paraId="039D3D32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≤6</w:t>
            </w:r>
          </w:p>
        </w:tc>
        <w:tc>
          <w:tcPr>
            <w:tcW w:w="1873" w:type="dxa"/>
            <w:vAlign w:val="center"/>
          </w:tcPr>
          <w:p w14:paraId="4241479C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一次未提交扣3分</w:t>
            </w:r>
          </w:p>
        </w:tc>
        <w:tc>
          <w:tcPr>
            <w:tcW w:w="1505" w:type="dxa"/>
            <w:vAlign w:val="center"/>
          </w:tcPr>
          <w:p w14:paraId="5D64F819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</w:tr>
    </w:tbl>
    <w:p w14:paraId="5AA556D0">
      <w:pPr>
        <w:spacing w:line="240" w:lineRule="atLeast"/>
        <w:jc w:val="left"/>
        <w:rPr>
          <w:rFonts w:ascii="黑体" w:hAnsi="黑体" w:eastAsia="黑体" w:cs="仿宋_GB2312"/>
          <w:b/>
          <w:spacing w:val="-6"/>
          <w:sz w:val="32"/>
          <w:szCs w:val="32"/>
        </w:rPr>
      </w:pPr>
      <w:r>
        <w:rPr>
          <w:rFonts w:hint="eastAsia" w:ascii="黑体" w:hAnsi="黑体" w:eastAsia="黑体" w:cs="仿宋_GB2312"/>
          <w:b/>
          <w:spacing w:val="-6"/>
          <w:sz w:val="32"/>
          <w:szCs w:val="32"/>
        </w:rPr>
        <w:t>（二）关于指标得分的计算规则</w:t>
      </w:r>
    </w:p>
    <w:p w14:paraId="138ADB87">
      <w:pPr>
        <w:spacing w:line="240" w:lineRule="atLeast"/>
        <w:jc w:val="left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指标得分按照分段线性插值的方式进行计算。</w:t>
      </w:r>
    </w:p>
    <w:p w14:paraId="0E31ED56">
      <w:pPr>
        <w:spacing w:line="240" w:lineRule="atLeast"/>
        <w:jc w:val="center"/>
        <w:rPr>
          <w:rFonts w:ascii="仿宋_GB2312" w:hAnsi="仿宋_GB2312" w:eastAsia="仿宋_GB2312" w:cs="仿宋_GB2312"/>
          <w:b/>
          <w:spacing w:val="-6"/>
          <w:szCs w:val="21"/>
        </w:rPr>
      </w:pPr>
      <w:r>
        <w:drawing>
          <wp:inline distT="0" distB="0" distL="0" distR="0">
            <wp:extent cx="5274310" cy="278447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8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A8292">
      <w:pPr>
        <w:spacing w:line="240" w:lineRule="atLeast"/>
        <w:ind w:firstLine="616" w:firstLineChars="200"/>
        <w:jc w:val="left"/>
        <w:rPr>
          <w:rFonts w:ascii="Times New Roman" w:hAnsi="Times New Roman" w:eastAsia="仿宋_GB2312" w:cs="Times New Roman"/>
          <w:bCs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pacing w:val="-6"/>
          <w:sz w:val="32"/>
          <w:szCs w:val="32"/>
        </w:rPr>
        <w:t>具体计算规则如下：</w:t>
      </w:r>
    </w:p>
    <w:p w14:paraId="492EC18C">
      <w:pPr>
        <w:widowControl/>
        <w:spacing w:line="500" w:lineRule="exact"/>
        <w:ind w:firstLine="616" w:firstLineChars="200"/>
        <w:jc w:val="left"/>
        <w:rPr>
          <w:rFonts w:ascii="Times New Roman" w:hAnsi="Times New Roman" w:eastAsia="仿宋_GB2312" w:cs="Times New Roman"/>
          <w:bCs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pacing w:val="-6"/>
          <w:sz w:val="32"/>
          <w:szCs w:val="32"/>
        </w:rPr>
        <w:t>1、每项指标，计算结果达到基本要求的，给60%权重分。达到满分标准的，给100%权重分。指标数值为0 时，指标得分为0。</w:t>
      </w:r>
    </w:p>
    <w:p w14:paraId="21C3E99C">
      <w:pPr>
        <w:widowControl/>
        <w:spacing w:line="500" w:lineRule="exact"/>
        <w:ind w:firstLine="616" w:firstLineChars="200"/>
        <w:jc w:val="left"/>
        <w:rPr>
          <w:rFonts w:ascii="Times New Roman" w:hAnsi="Times New Roman" w:eastAsia="仿宋_GB2312" w:cs="Times New Roman"/>
          <w:bCs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pacing w:val="-6"/>
          <w:sz w:val="32"/>
          <w:szCs w:val="32"/>
        </w:rPr>
        <w:t>2、指标数值处于0和基本要求之间时，指标得分按线性插值的方法计算，具体计算公式为：指标得分=指标数值/基本要求*60%权重分。</w:t>
      </w:r>
    </w:p>
    <w:p w14:paraId="73E5BFAA">
      <w:pPr>
        <w:widowControl/>
        <w:spacing w:line="500" w:lineRule="exact"/>
        <w:ind w:firstLine="616" w:firstLineChars="200"/>
        <w:jc w:val="left"/>
        <w:rPr>
          <w:rFonts w:ascii="Times New Roman" w:hAnsi="Times New Roman" w:eastAsia="仿宋_GB2312" w:cs="Times New Roman"/>
          <w:bCs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pacing w:val="-6"/>
          <w:sz w:val="32"/>
          <w:szCs w:val="32"/>
        </w:rPr>
        <w:t>3、指标数值处于基本要求和满分要求之间时，指标得分按线性插值的方法计算，具体计算公式为：指标得分=（指标数值-基本要求）/（满分要求－基本要求）*40%权重分+60%权重分</w:t>
      </w:r>
    </w:p>
    <w:p w14:paraId="4FF6CD39">
      <w:pPr>
        <w:widowControl/>
        <w:spacing w:line="500" w:lineRule="exact"/>
        <w:ind w:firstLine="616" w:firstLineChars="200"/>
        <w:jc w:val="left"/>
        <w:rPr>
          <w:rFonts w:ascii="Times New Roman" w:hAnsi="Times New Roman" w:eastAsia="仿宋_GB2312" w:cs="Times New Roman"/>
          <w:bCs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pacing w:val="-6"/>
          <w:sz w:val="32"/>
          <w:szCs w:val="32"/>
        </w:rPr>
        <w:t>4、得分数值计算结果采用四舍五入，保留一位小数；四舍五入等于0分的，给0.1分。</w:t>
      </w:r>
    </w:p>
    <w:p w14:paraId="4A2BF646">
      <w:pPr>
        <w:widowControl/>
        <w:spacing w:line="500" w:lineRule="exact"/>
        <w:ind w:firstLine="616" w:firstLineChars="200"/>
        <w:jc w:val="left"/>
        <w:rPr>
          <w:rFonts w:ascii="Times New Roman" w:hAnsi="Times New Roman" w:eastAsia="仿宋_GB2312" w:cs="Times New Roman"/>
          <w:bCs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pacing w:val="-6"/>
          <w:sz w:val="32"/>
          <w:szCs w:val="32"/>
        </w:rPr>
        <w:t>5、“研发经费支出占主营业务收入的比重”，主营业务收入</w:t>
      </w:r>
      <w:r>
        <w:rPr>
          <w:rFonts w:hint="eastAsia" w:ascii="仿宋" w:hAnsi="仿宋" w:eastAsia="仿宋" w:cs="Times New Roman"/>
          <w:bCs/>
          <w:spacing w:val="-6"/>
          <w:sz w:val="32"/>
          <w:szCs w:val="32"/>
        </w:rPr>
        <w:t>&gt;</w:t>
      </w:r>
      <w:r>
        <w:rPr>
          <w:rFonts w:hint="eastAsia" w:ascii="Times New Roman" w:hAnsi="Times New Roman" w:eastAsia="仿宋_GB2312" w:cs="Times New Roman"/>
          <w:bCs/>
          <w:spacing w:val="-6"/>
          <w:sz w:val="32"/>
          <w:szCs w:val="32"/>
        </w:rPr>
        <w:t>0时，则按正常方式计算得分；主营业务收入为0时，</w:t>
      </w:r>
      <w:r>
        <w:rPr>
          <w:rFonts w:hint="eastAsia" w:ascii="仿宋" w:hAnsi="仿宋" w:eastAsia="仿宋" w:cs="Times New Roman"/>
          <w:bCs/>
          <w:spacing w:val="-6"/>
          <w:sz w:val="32"/>
          <w:szCs w:val="32"/>
        </w:rPr>
        <w:t>则该指标得满分。</w:t>
      </w:r>
    </w:p>
    <w:p w14:paraId="1393AADB">
      <w:pPr>
        <w:widowControl/>
        <w:spacing w:line="500" w:lineRule="exact"/>
        <w:ind w:firstLine="616" w:firstLineChars="200"/>
        <w:jc w:val="left"/>
        <w:rPr>
          <w:rFonts w:ascii="Times New Roman" w:hAnsi="Times New Roman" w:eastAsia="仿宋_GB2312" w:cs="Times New Roman"/>
          <w:bCs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pacing w:val="-6"/>
          <w:sz w:val="32"/>
          <w:szCs w:val="32"/>
        </w:rPr>
        <w:t>6、“新产品销售利润占利润总额的比重”，若新产品销售利润≤0</w:t>
      </w:r>
      <w:r>
        <w:rPr>
          <w:rFonts w:hint="eastAsia" w:ascii="仿宋" w:hAnsi="仿宋" w:eastAsia="仿宋" w:cs="Times New Roman"/>
          <w:bCs/>
          <w:spacing w:val="-6"/>
          <w:sz w:val="32"/>
          <w:szCs w:val="32"/>
        </w:rPr>
        <w:t>，则该指标得</w:t>
      </w:r>
      <w:r>
        <w:rPr>
          <w:rFonts w:hint="eastAsia" w:ascii="Times New Roman" w:hAnsi="Times New Roman" w:eastAsia="仿宋_GB2312" w:cs="Times New Roman"/>
          <w:bCs/>
          <w:spacing w:val="-6"/>
          <w:sz w:val="32"/>
          <w:szCs w:val="32"/>
        </w:rPr>
        <w:t>0分</w:t>
      </w:r>
      <w:r>
        <w:rPr>
          <w:rFonts w:hint="eastAsia" w:ascii="仿宋" w:hAnsi="仿宋" w:eastAsia="仿宋" w:cs="Times New Roman"/>
          <w:bCs/>
          <w:spacing w:val="-6"/>
          <w:sz w:val="32"/>
          <w:szCs w:val="32"/>
        </w:rPr>
        <w:t>；若</w:t>
      </w:r>
      <w:r>
        <w:rPr>
          <w:rFonts w:hint="eastAsia" w:ascii="Times New Roman" w:hAnsi="Times New Roman" w:eastAsia="仿宋_GB2312" w:cs="Times New Roman"/>
          <w:bCs/>
          <w:spacing w:val="-6"/>
          <w:sz w:val="32"/>
          <w:szCs w:val="32"/>
        </w:rPr>
        <w:t>新产品销售利润</w:t>
      </w:r>
      <w:r>
        <w:rPr>
          <w:rFonts w:hint="eastAsia" w:ascii="仿宋" w:hAnsi="仿宋" w:eastAsia="仿宋" w:cs="Times New Roman"/>
          <w:bCs/>
          <w:spacing w:val="-6"/>
          <w:sz w:val="32"/>
          <w:szCs w:val="32"/>
        </w:rPr>
        <w:t>&gt;</w:t>
      </w:r>
      <w:r>
        <w:rPr>
          <w:rFonts w:hint="eastAsia" w:ascii="Times New Roman" w:hAnsi="Times New Roman" w:eastAsia="仿宋_GB2312" w:cs="Times New Roman"/>
          <w:bCs/>
          <w:spacing w:val="-6"/>
          <w:sz w:val="32"/>
          <w:szCs w:val="32"/>
        </w:rPr>
        <w:t>0，利润总额</w:t>
      </w:r>
      <w:r>
        <w:rPr>
          <w:rFonts w:hint="eastAsia" w:ascii="仿宋" w:hAnsi="仿宋" w:eastAsia="仿宋" w:cs="Times New Roman"/>
          <w:bCs/>
          <w:spacing w:val="-6"/>
          <w:sz w:val="32"/>
          <w:szCs w:val="32"/>
        </w:rPr>
        <w:t>≤0，该指标得</w:t>
      </w:r>
      <w:r>
        <w:rPr>
          <w:rFonts w:hint="eastAsia" w:ascii="Times New Roman" w:hAnsi="Times New Roman" w:eastAsia="仿宋_GB2312" w:cs="Times New Roman"/>
          <w:bCs/>
          <w:spacing w:val="-6"/>
          <w:sz w:val="32"/>
          <w:szCs w:val="32"/>
        </w:rPr>
        <w:t>60%权重分；</w:t>
      </w:r>
      <w:r>
        <w:rPr>
          <w:rFonts w:hint="eastAsia" w:ascii="仿宋" w:hAnsi="仿宋" w:eastAsia="仿宋" w:cs="Times New Roman"/>
          <w:bCs/>
          <w:spacing w:val="-6"/>
          <w:sz w:val="32"/>
          <w:szCs w:val="32"/>
        </w:rPr>
        <w:t>若</w:t>
      </w:r>
      <w:r>
        <w:rPr>
          <w:rFonts w:hint="eastAsia" w:ascii="Times New Roman" w:hAnsi="Times New Roman" w:eastAsia="仿宋_GB2312" w:cs="Times New Roman"/>
          <w:bCs/>
          <w:spacing w:val="-6"/>
          <w:sz w:val="32"/>
          <w:szCs w:val="32"/>
        </w:rPr>
        <w:t>新产品销售利润</w:t>
      </w:r>
      <w:r>
        <w:rPr>
          <w:rFonts w:hint="eastAsia" w:ascii="仿宋" w:hAnsi="仿宋" w:eastAsia="仿宋" w:cs="Times New Roman"/>
          <w:bCs/>
          <w:spacing w:val="-6"/>
          <w:sz w:val="32"/>
          <w:szCs w:val="32"/>
        </w:rPr>
        <w:t>&gt;</w:t>
      </w:r>
      <w:r>
        <w:rPr>
          <w:rFonts w:hint="eastAsia" w:ascii="Times New Roman" w:hAnsi="Times New Roman" w:eastAsia="仿宋_GB2312" w:cs="Times New Roman"/>
          <w:bCs/>
          <w:spacing w:val="-6"/>
          <w:sz w:val="32"/>
          <w:szCs w:val="32"/>
        </w:rPr>
        <w:t>0，利润总额</w:t>
      </w:r>
      <w:r>
        <w:rPr>
          <w:rFonts w:hint="eastAsia" w:ascii="仿宋" w:hAnsi="仿宋" w:eastAsia="仿宋" w:cs="Times New Roman"/>
          <w:bCs/>
          <w:spacing w:val="-6"/>
          <w:sz w:val="32"/>
          <w:szCs w:val="32"/>
        </w:rPr>
        <w:t>&gt;</w:t>
      </w:r>
      <w:r>
        <w:rPr>
          <w:rFonts w:hint="eastAsia" w:ascii="Times New Roman" w:hAnsi="Times New Roman" w:eastAsia="仿宋_GB2312" w:cs="Times New Roman"/>
          <w:bCs/>
          <w:spacing w:val="-6"/>
          <w:sz w:val="32"/>
          <w:szCs w:val="32"/>
        </w:rPr>
        <w:t>0，则按正常方式计算得分。</w:t>
      </w:r>
    </w:p>
    <w:p w14:paraId="5034740F">
      <w:pPr>
        <w:spacing w:line="240" w:lineRule="atLeast"/>
        <w:ind w:firstLine="616" w:firstLineChars="200"/>
        <w:jc w:val="left"/>
        <w:rPr>
          <w:rFonts w:ascii="Times New Roman" w:hAnsi="Times New Roman" w:cs="Times New Roman"/>
          <w:bCs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pacing w:val="-6"/>
          <w:sz w:val="32"/>
          <w:szCs w:val="32"/>
        </w:rPr>
        <w:t>7、加分项计算方式详见“指标体系”。</w:t>
      </w:r>
    </w:p>
    <w:p w14:paraId="61D5DB44">
      <w:pPr>
        <w:pStyle w:val="2"/>
        <w:spacing w:line="500" w:lineRule="exact"/>
        <w:ind w:firstLine="643" w:firstLineChars="200"/>
        <w:rPr>
          <w:rFonts w:ascii="黑体" w:hAnsi="黑体" w:cs="仿宋_GB2312"/>
          <w:b/>
          <w:sz w:val="32"/>
          <w:szCs w:val="32"/>
        </w:rPr>
      </w:pPr>
      <w:r>
        <w:rPr>
          <w:rFonts w:hint="eastAsia" w:ascii="黑体" w:hAnsi="黑体" w:cs="仿宋_GB2312"/>
          <w:b/>
          <w:sz w:val="32"/>
          <w:szCs w:val="32"/>
        </w:rPr>
        <w:t>四、行业系数及规模系数</w:t>
      </w:r>
    </w:p>
    <w:p w14:paraId="150C446B">
      <w:pPr>
        <w:spacing w:line="500" w:lineRule="exact"/>
        <w:ind w:firstLine="640" w:firstLineChars="200"/>
        <w:outlineLvl w:val="2"/>
        <w:rPr>
          <w:rFonts w:ascii="仿宋_GB2312"/>
          <w:b/>
          <w:kern w:val="0"/>
          <w:sz w:val="32"/>
          <w:szCs w:val="32"/>
        </w:rPr>
      </w:pPr>
      <w:r>
        <w:rPr>
          <w:rFonts w:hint="eastAsia" w:ascii="仿宋_GB2312" w:cs="黑体"/>
          <w:b/>
          <w:kern w:val="0"/>
          <w:sz w:val="32"/>
          <w:szCs w:val="32"/>
        </w:rPr>
        <w:t>1.行业系数</w:t>
      </w:r>
    </w:p>
    <w:tbl>
      <w:tblPr>
        <w:tblStyle w:val="7"/>
        <w:tblW w:w="87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4"/>
        <w:gridCol w:w="2082"/>
        <w:gridCol w:w="2195"/>
        <w:gridCol w:w="2000"/>
      </w:tblGrid>
      <w:tr w14:paraId="69BB3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97CA3">
            <w:pPr>
              <w:spacing w:line="300" w:lineRule="exact"/>
              <w:jc w:val="center"/>
              <w:rPr>
                <w:rFonts w:ascii="仿宋_GB2312" w:hAnsi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</w:rPr>
              <w:t>行业名称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1F42CC">
            <w:pPr>
              <w:spacing w:line="300" w:lineRule="exact"/>
              <w:jc w:val="center"/>
              <w:rPr>
                <w:rFonts w:ascii="仿宋_GB2312" w:hAnsi="仿宋_GB2312" w:cs="仿宋_GB2312"/>
                <w:b/>
                <w:spacing w:val="-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spacing w:val="-12"/>
                <w:sz w:val="24"/>
                <w:szCs w:val="24"/>
              </w:rPr>
              <w:t>研发经费支出占</w:t>
            </w:r>
          </w:p>
          <w:p w14:paraId="49524DD2">
            <w:pPr>
              <w:spacing w:line="300" w:lineRule="exact"/>
              <w:jc w:val="center"/>
              <w:rPr>
                <w:rFonts w:ascii="仿宋_GB2312" w:hAnsi="仿宋_GB2312" w:cs="仿宋_GB2312"/>
                <w:b/>
                <w:spacing w:val="-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spacing w:val="-23"/>
                <w:sz w:val="24"/>
                <w:szCs w:val="24"/>
              </w:rPr>
              <w:t>主营业务收入的比重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05697">
            <w:pPr>
              <w:spacing w:line="300" w:lineRule="exact"/>
              <w:jc w:val="center"/>
              <w:rPr>
                <w:rFonts w:ascii="仿宋_GB2312" w:hAnsi="仿宋_GB2312" w:cs="仿宋_GB2312"/>
                <w:b/>
                <w:spacing w:val="-17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spacing w:val="-17"/>
                <w:sz w:val="24"/>
                <w:szCs w:val="24"/>
              </w:rPr>
              <w:t>新产品销售收入占主营业务收入的比重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86CEDF">
            <w:pPr>
              <w:spacing w:line="300" w:lineRule="exact"/>
              <w:jc w:val="center"/>
              <w:rPr>
                <w:rFonts w:ascii="仿宋_GB2312" w:hAnsi="仿宋_GB2312" w:cs="仿宋_GB2312"/>
                <w:b/>
                <w:spacing w:val="-17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spacing w:val="-17"/>
                <w:sz w:val="24"/>
                <w:szCs w:val="24"/>
              </w:rPr>
              <w:t>新产品销售利润占利润总额的比重</w:t>
            </w:r>
          </w:p>
        </w:tc>
      </w:tr>
      <w:tr w14:paraId="12EA2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24A23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农业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530CFD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1.5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260B72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1.5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91DD78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1.5</w:t>
            </w:r>
          </w:p>
        </w:tc>
      </w:tr>
      <w:tr w14:paraId="1944F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0F367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农副食品加工业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F67D73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1.5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37861D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1.5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0B824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</w:tr>
      <w:tr w14:paraId="08340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778F8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食品制造业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87798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1.5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80D038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1.5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C0D18E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</w:tr>
      <w:tr w14:paraId="033E2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0BFDB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酒、饮料和精制茶制造业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7C2D13A4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1.2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685767AC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1.5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7C311D4E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1.5</w:t>
            </w:r>
          </w:p>
        </w:tc>
      </w:tr>
      <w:tr w14:paraId="5279A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2FDF4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烟草制品业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53CA0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3.0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23C5CC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1.5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67FDA0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2.0</w:t>
            </w:r>
          </w:p>
        </w:tc>
      </w:tr>
      <w:tr w14:paraId="0F79E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47AF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纺织业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CAD62C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1.2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72869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25F022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</w:tr>
      <w:tr w14:paraId="2F3C3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3FEA6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纺织服装、服饰业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9CF56D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1.2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804F9B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7AD4A3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</w:tr>
      <w:tr w14:paraId="475AB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14BE7">
            <w:pPr>
              <w:widowControl/>
              <w:spacing w:line="30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皮革、毛皮、羽毛及其制品和制鞋业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99DBA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1.5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4ED57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1.2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A21DB6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</w:tr>
      <w:tr w14:paraId="53A54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473B4">
            <w:pPr>
              <w:widowControl/>
              <w:spacing w:line="30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11"/>
                <w:sz w:val="24"/>
                <w:szCs w:val="24"/>
              </w:rPr>
              <w:t>木材加工和木、竹、藤、棕、草制品业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27BDBF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A71DE2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1.5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32243E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1.2</w:t>
            </w:r>
          </w:p>
        </w:tc>
      </w:tr>
      <w:tr w14:paraId="3BA8B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20AFA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家具制造业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5BCAA6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1.2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7A1420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62F6F4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</w:tr>
      <w:tr w14:paraId="1896A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62AA0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造纸和纸制品业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3E276D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7B3844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2A8755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</w:tr>
      <w:tr w14:paraId="7DD7A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46311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印刷和记录媒介复制业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7967A7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8A61C3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5457D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1.2</w:t>
            </w:r>
          </w:p>
        </w:tc>
      </w:tr>
      <w:tr w14:paraId="28116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D515C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文教、工美、体育和娱乐用品制造业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71E80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1.5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D9D370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1.2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915FB5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1.2</w:t>
            </w:r>
          </w:p>
        </w:tc>
      </w:tr>
      <w:tr w14:paraId="50E4F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36282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化学原料和化学制品制造业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F6DF4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DFAC23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DB875F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</w:tr>
      <w:tr w14:paraId="7179C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2399B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医药制造业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18EEB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0.8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89A7AF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0.8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F2C4EE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</w:tr>
      <w:tr w14:paraId="124A3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44CA9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化学纤维制造业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DE54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50E419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B8C17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</w:tr>
      <w:tr w14:paraId="2D6AE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408F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橡胶和塑料制品业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8B7A73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E57913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2ABF0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</w:tr>
      <w:tr w14:paraId="23AC7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D90CC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非金属矿物制品业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8E78F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81FC2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0721E7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</w:tr>
      <w:tr w14:paraId="3F8B1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A760B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黑色金属冶炼和压延加工业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AF5BE3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1.2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64EFC6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1.5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4F76BD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1.5</w:t>
            </w:r>
          </w:p>
        </w:tc>
      </w:tr>
      <w:tr w14:paraId="2FBC8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B24F7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有色金属冶炼和压延加工业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B5F04B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1.2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D061E9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1.2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8FA70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</w:tr>
      <w:tr w14:paraId="05833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86182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金属制品业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F1AFF6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F85466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A9356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</w:tr>
      <w:tr w14:paraId="7F087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9B237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通用设备制造业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76A126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111F59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C6C6D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</w:tr>
      <w:tr w14:paraId="425AC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53C44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专用设备制造业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5A94A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AC3249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11C90D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</w:tr>
      <w:tr w14:paraId="5C10C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E404E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汽车制造业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5CC33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78E87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0.8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13AE4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</w:tr>
      <w:tr w14:paraId="60A61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D2F67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铁路、船舶、航空航天和其他运输设备制造业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C03B23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0.8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A99ACF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0.8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4E305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</w:tr>
      <w:tr w14:paraId="6B69B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A557C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电气机械和器材制造业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7E5177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0.8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07E66D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0.8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F8CD0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</w:tr>
      <w:tr w14:paraId="7A722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986C5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计算机、通信和其他电子设备制造业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A41B31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0.8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B408A9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0.8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CF78F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0.8</w:t>
            </w:r>
          </w:p>
        </w:tc>
      </w:tr>
      <w:tr w14:paraId="4CE9E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FB849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仪器仪表制造业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DD758D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0.8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F3826E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0.8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DF987D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0.8</w:t>
            </w:r>
          </w:p>
        </w:tc>
      </w:tr>
      <w:tr w14:paraId="3AA86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1C94C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电力、热力、燃气与水生产和供应业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7449DE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2.5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429AA6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3.0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39358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3.0</w:t>
            </w:r>
          </w:p>
        </w:tc>
      </w:tr>
      <w:tr w14:paraId="75217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E1D1D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房屋建筑业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7FCD35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2.0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F044C5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1.5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8AFD3A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1.5</w:t>
            </w:r>
          </w:p>
        </w:tc>
      </w:tr>
      <w:tr w14:paraId="6F828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821E5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土木工程建筑业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920B0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2.0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B7D940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1.5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659DF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1.5</w:t>
            </w:r>
          </w:p>
        </w:tc>
      </w:tr>
      <w:tr w14:paraId="42DE7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6C310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建筑安装业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0647A8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2.0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F7C1D6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1.5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D4055C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1.5</w:t>
            </w:r>
          </w:p>
        </w:tc>
      </w:tr>
      <w:tr w14:paraId="34B6F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C8190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软件和信息技术服务业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355CA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0.6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FF168D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10F5EA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</w:tr>
      <w:tr w14:paraId="4EC0D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B8B07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专业技术服务业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C17065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01BF43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134EC0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</w:tr>
      <w:tr w14:paraId="2CA02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E2CF2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其他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F33FB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1.5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E9E585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1.5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170824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</w:tr>
    </w:tbl>
    <w:p w14:paraId="17AB6F6A">
      <w:pPr>
        <w:spacing w:line="520" w:lineRule="exact"/>
        <w:ind w:firstLine="640" w:firstLineChars="200"/>
        <w:rPr>
          <w:rFonts w:ascii="仿宋_GB2312"/>
          <w:b/>
          <w:sz w:val="32"/>
          <w:szCs w:val="32"/>
        </w:rPr>
      </w:pPr>
      <w:r>
        <w:rPr>
          <w:rFonts w:hint="eastAsia" w:ascii="仿宋_GB2312"/>
          <w:b/>
          <w:sz w:val="32"/>
          <w:szCs w:val="32"/>
        </w:rPr>
        <w:t>2.规模系数</w:t>
      </w:r>
    </w:p>
    <w:p w14:paraId="14CFD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4" w:firstLineChars="200"/>
        <w:textAlignment w:val="auto"/>
        <w:rPr>
          <w:rFonts w:ascii="仿宋_GB2312" w:hAnsi="Times New Roman" w:eastAsia="仿宋_GB2312" w:cs="宋体"/>
          <w:spacing w:val="-4"/>
          <w:sz w:val="32"/>
          <w:szCs w:val="32"/>
        </w:rPr>
      </w:pPr>
      <w:r>
        <w:rPr>
          <w:rFonts w:hint="eastAsia" w:ascii="仿宋_GB2312" w:hAnsi="Times New Roman" w:eastAsia="仿宋_GB2312" w:cs="宋体"/>
          <w:spacing w:val="-4"/>
          <w:sz w:val="32"/>
          <w:szCs w:val="32"/>
        </w:rPr>
        <w:t>考虑到不同规模企业在研发投入强度上存在显著差异，对“研发经费支出占主营业务收入的比重”这一指标的基本要求设定企业规模系数：</w:t>
      </w:r>
    </w:p>
    <w:p w14:paraId="0C853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4" w:firstLineChars="200"/>
        <w:textAlignment w:val="auto"/>
        <w:rPr>
          <w:rFonts w:ascii="仿宋_GB2312" w:hAnsi="Times New Roman" w:eastAsia="仿宋_GB2312" w:cs="宋体"/>
          <w:spacing w:val="-4"/>
          <w:sz w:val="32"/>
          <w:szCs w:val="32"/>
        </w:rPr>
      </w:pPr>
      <w:r>
        <w:rPr>
          <w:rFonts w:hint="eastAsia" w:ascii="仿宋_GB2312" w:hAnsi="Times New Roman" w:eastAsia="仿宋_GB2312" w:cs="宋体"/>
          <w:spacing w:val="-4"/>
          <w:sz w:val="32"/>
          <w:szCs w:val="32"/>
        </w:rPr>
        <w:t>主营业务收入</w:t>
      </w:r>
      <w:r>
        <w:rPr>
          <w:rFonts w:hint="eastAsia" w:ascii="仿宋_GB2312" w:hAnsi="Times New Roman" w:eastAsia="仿宋_GB2312" w:cs="Times New Roman"/>
          <w:spacing w:val="-4"/>
          <w:sz w:val="32"/>
          <w:szCs w:val="32"/>
        </w:rPr>
        <w:t>500</w:t>
      </w:r>
      <w:r>
        <w:rPr>
          <w:rFonts w:hint="eastAsia" w:ascii="仿宋_GB2312" w:hAnsi="Times New Roman" w:eastAsia="仿宋_GB2312" w:cs="宋体"/>
          <w:spacing w:val="-4"/>
          <w:sz w:val="32"/>
          <w:szCs w:val="32"/>
        </w:rPr>
        <w:t>亿元及以上的企业规模系数为</w:t>
      </w:r>
      <w:r>
        <w:rPr>
          <w:rFonts w:hint="eastAsia" w:ascii="仿宋_GB2312" w:hAnsi="Times New Roman" w:eastAsia="仿宋_GB2312" w:cs="Times New Roman"/>
          <w:spacing w:val="-4"/>
          <w:sz w:val="32"/>
          <w:szCs w:val="32"/>
        </w:rPr>
        <w:t>3</w:t>
      </w:r>
      <w:r>
        <w:rPr>
          <w:rFonts w:hint="eastAsia" w:ascii="仿宋_GB2312" w:hAnsi="Times New Roman" w:eastAsia="仿宋_GB2312" w:cs="宋体"/>
          <w:spacing w:val="-4"/>
          <w:sz w:val="32"/>
          <w:szCs w:val="32"/>
        </w:rPr>
        <w:t>；</w:t>
      </w:r>
    </w:p>
    <w:p w14:paraId="7B55B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97" w:firstLineChars="218"/>
        <w:textAlignment w:val="auto"/>
        <w:rPr>
          <w:rFonts w:hint="eastAsia" w:ascii="仿宋_GB2312" w:hAnsi="Times New Roman" w:eastAsia="仿宋_GB2312" w:cs="宋体"/>
          <w:spacing w:val="-23"/>
          <w:sz w:val="32"/>
          <w:szCs w:val="32"/>
        </w:rPr>
      </w:pPr>
      <w:r>
        <w:rPr>
          <w:rFonts w:hint="eastAsia" w:ascii="仿宋_GB2312" w:hAnsi="Times New Roman" w:eastAsia="仿宋_GB2312" w:cs="宋体"/>
          <w:spacing w:val="-23"/>
          <w:sz w:val="32"/>
          <w:szCs w:val="32"/>
        </w:rPr>
        <w:t>主营业务收入100 - 500亿元(含100亿元)的企业规模系数为2；</w:t>
      </w:r>
    </w:p>
    <w:p w14:paraId="7BC59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3" w:firstLineChars="218"/>
        <w:textAlignment w:val="auto"/>
        <w:rPr>
          <w:rFonts w:hint="eastAsia" w:ascii="仿宋_GB2312" w:hAnsi="Times New Roman" w:eastAsia="仿宋_GB2312" w:cs="宋体"/>
          <w:spacing w:val="-17"/>
          <w:sz w:val="32"/>
          <w:szCs w:val="32"/>
        </w:rPr>
      </w:pPr>
      <w:r>
        <w:rPr>
          <w:rFonts w:hint="eastAsia" w:ascii="仿宋_GB2312" w:hAnsi="Times New Roman" w:eastAsia="仿宋_GB2312" w:cs="宋体"/>
          <w:spacing w:val="-17"/>
          <w:sz w:val="32"/>
          <w:szCs w:val="32"/>
        </w:rPr>
        <w:t>主营业务收入10-100</w:t>
      </w:r>
      <w:r>
        <w:rPr>
          <w:rFonts w:hint="eastAsia" w:ascii="仿宋_GB2312" w:hAnsi="Times New Roman" w:eastAsia="仿宋_GB2312" w:cs="宋体"/>
          <w:spacing w:val="-17"/>
          <w:sz w:val="32"/>
          <w:szCs w:val="32"/>
        </w:rPr>
        <w:t>亿元(</w:t>
      </w:r>
      <w:r>
        <w:rPr>
          <w:rFonts w:hint="eastAsia" w:ascii="仿宋_GB2312" w:hAnsi="Times New Roman" w:eastAsia="仿宋_GB2312" w:cs="宋体"/>
          <w:spacing w:val="-17"/>
          <w:sz w:val="32"/>
          <w:szCs w:val="32"/>
        </w:rPr>
        <w:t>含10</w:t>
      </w:r>
      <w:r>
        <w:rPr>
          <w:rFonts w:hint="eastAsia" w:ascii="仿宋_GB2312" w:hAnsi="Times New Roman" w:eastAsia="仿宋_GB2312" w:cs="宋体"/>
          <w:spacing w:val="-17"/>
          <w:sz w:val="32"/>
          <w:szCs w:val="32"/>
        </w:rPr>
        <w:t>亿元)</w:t>
      </w:r>
      <w:r>
        <w:rPr>
          <w:rFonts w:hint="eastAsia" w:ascii="仿宋_GB2312" w:hAnsi="Times New Roman" w:eastAsia="仿宋_GB2312" w:cs="宋体"/>
          <w:spacing w:val="-17"/>
          <w:sz w:val="32"/>
          <w:szCs w:val="32"/>
        </w:rPr>
        <w:t>的企业规模系数为1.5</w:t>
      </w:r>
      <w:r>
        <w:rPr>
          <w:rFonts w:hint="eastAsia" w:ascii="仿宋_GB2312" w:hAnsi="Times New Roman" w:eastAsia="仿宋_GB2312" w:cs="宋体"/>
          <w:spacing w:val="-17"/>
          <w:sz w:val="32"/>
          <w:szCs w:val="32"/>
        </w:rPr>
        <w:t>；</w:t>
      </w:r>
    </w:p>
    <w:p w14:paraId="61E16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3" w:firstLineChars="218"/>
        <w:textAlignment w:val="auto"/>
        <w:rPr>
          <w:rFonts w:hint="eastAsia" w:ascii="仿宋_GB2312" w:hAnsi="Times New Roman" w:eastAsia="仿宋_GB2312" w:cs="宋体"/>
          <w:spacing w:val="-17"/>
          <w:sz w:val="32"/>
          <w:szCs w:val="32"/>
        </w:rPr>
      </w:pPr>
      <w:r>
        <w:rPr>
          <w:rFonts w:hint="eastAsia" w:ascii="仿宋_GB2312" w:hAnsi="Times New Roman" w:eastAsia="仿宋_GB2312" w:cs="宋体"/>
          <w:spacing w:val="-17"/>
          <w:sz w:val="32"/>
          <w:szCs w:val="32"/>
        </w:rPr>
        <w:t>主营业务收入10-3亿元(含3亿元)的企业规模系数为1;</w:t>
      </w:r>
    </w:p>
    <w:p w14:paraId="25B3B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3" w:firstLineChars="218"/>
        <w:textAlignment w:val="auto"/>
        <w:rPr>
          <w:rFonts w:hint="eastAsia" w:ascii="仿宋_GB2312" w:hAnsi="Times New Roman" w:eastAsia="仿宋_GB2312" w:cs="宋体"/>
          <w:spacing w:val="-17"/>
          <w:sz w:val="32"/>
          <w:szCs w:val="32"/>
        </w:rPr>
      </w:pPr>
      <w:r>
        <w:rPr>
          <w:rFonts w:hint="eastAsia" w:ascii="仿宋_GB2312" w:hAnsi="Times New Roman" w:eastAsia="仿宋_GB2312" w:cs="宋体"/>
          <w:spacing w:val="-17"/>
          <w:sz w:val="32"/>
          <w:szCs w:val="32"/>
        </w:rPr>
        <w:t>主营业务收入3-2亿元(含2亿元)的企业规模系数为0.8;</w:t>
      </w:r>
    </w:p>
    <w:p w14:paraId="45672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3" w:firstLineChars="218"/>
        <w:textAlignment w:val="auto"/>
        <w:rPr>
          <w:rFonts w:hint="eastAsia" w:ascii="仿宋_GB2312" w:hAnsi="Times New Roman" w:eastAsia="仿宋_GB2312" w:cs="宋体"/>
          <w:spacing w:val="-17"/>
          <w:sz w:val="32"/>
          <w:szCs w:val="32"/>
        </w:rPr>
      </w:pPr>
      <w:r>
        <w:rPr>
          <w:rFonts w:hint="eastAsia" w:ascii="仿宋_GB2312" w:hAnsi="Times New Roman" w:eastAsia="仿宋_GB2312" w:cs="宋体"/>
          <w:spacing w:val="-17"/>
          <w:sz w:val="32"/>
          <w:szCs w:val="32"/>
        </w:rPr>
        <w:t>主营业务收入2-1亿元（含1亿元）的企业规模系数为0.5；</w:t>
      </w:r>
    </w:p>
    <w:p w14:paraId="03185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3" w:firstLineChars="218"/>
        <w:textAlignment w:val="auto"/>
        <w:rPr>
          <w:rFonts w:hint="eastAsia" w:ascii="仿宋_GB2312" w:hAnsi="Times New Roman" w:eastAsia="仿宋_GB2312" w:cs="宋体"/>
          <w:spacing w:val="-17"/>
          <w:sz w:val="32"/>
          <w:szCs w:val="32"/>
        </w:rPr>
      </w:pPr>
      <w:r>
        <w:rPr>
          <w:rFonts w:hint="eastAsia" w:ascii="仿宋_GB2312" w:hAnsi="Times New Roman" w:eastAsia="仿宋_GB2312" w:cs="宋体"/>
          <w:spacing w:val="-17"/>
          <w:sz w:val="32"/>
          <w:szCs w:val="32"/>
        </w:rPr>
        <w:t>主营业务收入小于1亿元的企业规模系数为0.3。</w:t>
      </w:r>
    </w:p>
    <w:p w14:paraId="3BB45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3" w:firstLineChars="218"/>
        <w:textAlignment w:val="auto"/>
        <w:rPr>
          <w:rFonts w:hint="eastAsia" w:ascii="仿宋_GB2312" w:hAnsi="Times New Roman" w:eastAsia="仿宋_GB2312" w:cs="宋体"/>
          <w:spacing w:val="-17"/>
          <w:sz w:val="32"/>
          <w:szCs w:val="32"/>
        </w:rPr>
      </w:pPr>
    </w:p>
    <w:p w14:paraId="0C9A3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3" w:firstLineChars="218"/>
        <w:textAlignment w:val="auto"/>
        <w:rPr>
          <w:rFonts w:hint="eastAsia" w:ascii="仿宋_GB2312" w:hAnsi="Times New Roman" w:eastAsia="仿宋_GB2312" w:cs="宋体"/>
          <w:spacing w:val="-17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47C"/>
    <w:rsid w:val="00021C04"/>
    <w:rsid w:val="000275D5"/>
    <w:rsid w:val="000510A1"/>
    <w:rsid w:val="001245AF"/>
    <w:rsid w:val="001C7430"/>
    <w:rsid w:val="00241C70"/>
    <w:rsid w:val="002E547C"/>
    <w:rsid w:val="00375D98"/>
    <w:rsid w:val="004673A9"/>
    <w:rsid w:val="00507D1D"/>
    <w:rsid w:val="00747549"/>
    <w:rsid w:val="007E5D67"/>
    <w:rsid w:val="00882A0E"/>
    <w:rsid w:val="008872E2"/>
    <w:rsid w:val="0088781E"/>
    <w:rsid w:val="00942EBD"/>
    <w:rsid w:val="009552C0"/>
    <w:rsid w:val="00966F90"/>
    <w:rsid w:val="00A90305"/>
    <w:rsid w:val="00B55264"/>
    <w:rsid w:val="00BE77DC"/>
    <w:rsid w:val="00C10AC8"/>
    <w:rsid w:val="00C657DF"/>
    <w:rsid w:val="00C87526"/>
    <w:rsid w:val="00D358F9"/>
    <w:rsid w:val="00DE1E44"/>
    <w:rsid w:val="00E521F5"/>
    <w:rsid w:val="00EA5433"/>
    <w:rsid w:val="00EB398F"/>
    <w:rsid w:val="00EC2B41"/>
    <w:rsid w:val="00FD54E8"/>
    <w:rsid w:val="00FE78EF"/>
    <w:rsid w:val="2074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rPr>
      <w:rFonts w:ascii="Cambria" w:hAnsi="Cambria" w:eastAsia="黑体" w:cs="Cambria"/>
      <w:sz w:val="20"/>
      <w:szCs w:val="20"/>
    </w:rPr>
  </w:style>
  <w:style w:type="paragraph" w:styleId="3">
    <w:name w:val="annotation text"/>
    <w:basedOn w:val="1"/>
    <w:link w:val="13"/>
    <w:semiHidden/>
    <w:unhideWhenUsed/>
    <w:qFormat/>
    <w:uiPriority w:val="99"/>
    <w:pPr>
      <w:spacing w:line="240" w:lineRule="atLeast"/>
      <w:jc w:val="left"/>
    </w:pPr>
    <w:rPr>
      <w:rFonts w:ascii="Times New Roman" w:hAnsi="Times New Roman" w:eastAsia="仿宋_GB2312" w:cs="Times New Roman"/>
      <w:spacing w:val="-6"/>
      <w:sz w:val="32"/>
      <w:szCs w:val="20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页眉 Char"/>
    <w:basedOn w:val="8"/>
    <w:link w:val="6"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文字 Char"/>
    <w:basedOn w:val="8"/>
    <w:link w:val="3"/>
    <w:semiHidden/>
    <w:qFormat/>
    <w:uiPriority w:val="99"/>
    <w:rPr>
      <w:rFonts w:ascii="Times New Roman" w:hAnsi="Times New Roman" w:eastAsia="仿宋_GB2312" w:cs="Times New Roman"/>
      <w:spacing w:val="-6"/>
      <w:sz w:val="32"/>
      <w:szCs w:val="20"/>
    </w:rPr>
  </w:style>
  <w:style w:type="character" w:customStyle="1" w:styleId="14">
    <w:name w:val="批注框文本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2668</Words>
  <Characters>2978</Characters>
  <Lines>24</Lines>
  <Paragraphs>6</Paragraphs>
  <TotalTime>2</TotalTime>
  <ScaleCrop>false</ScaleCrop>
  <LinksUpToDate>false</LinksUpToDate>
  <CharactersWithSpaces>2984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2022-07-20T03:33:00Z</dcterms:created>
  <dc:creator>宋杰</dc:creator>
  <cp:lastModifiedBy>唯一</cp:lastModifiedBy>
  <dcterms:modified xsi:type="dcterms:W3CDTF">2025-09-16T06:11:51Z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eyJoZGlkIjoiMjYxMzFiMjFkMDRmYzg4ZWM2NmZjMzI5NDZmNmMxZGIiLCJ1c2VySWQiOiI3OTMyOTQ3NDIifQ==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856DC4B8F6D34D538120054C8C0BAB0D_12</vt:lpwstr>
  </property>
</Properties>
</file>