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63F" w:rsidRDefault="00C7763F" w:rsidP="00C7763F">
      <w:pPr>
        <w:spacing w:line="600" w:lineRule="exact"/>
        <w:rPr>
          <w:rFonts w:ascii="仿宋_GB2312" w:eastAsia="仿宋_GB2312" w:hAnsi="仿宋_GB2312" w:cs="仿宋_GB2312" w:hint="eastAsia"/>
          <w:b/>
          <w:bCs/>
          <w:spacing w:val="-5"/>
          <w:sz w:val="32"/>
          <w:szCs w:val="32"/>
        </w:rPr>
      </w:pPr>
      <w:r>
        <w:rPr>
          <w:rFonts w:ascii="仿宋_GB2312" w:eastAsia="仿宋_GB2312" w:hAnsi="仿宋_GB2312" w:cs="仿宋_GB2312" w:hint="eastAsia"/>
          <w:b/>
          <w:bCs/>
          <w:spacing w:val="-5"/>
          <w:sz w:val="32"/>
          <w:szCs w:val="32"/>
        </w:rPr>
        <w:t>附件：</w:t>
      </w:r>
      <w:r>
        <w:rPr>
          <w:rFonts w:ascii="仿宋_GB2312" w:eastAsia="仿宋_GB2312" w:hAnsi="仿宋_GB2312" w:cs="仿宋_GB2312" w:hint="eastAsia"/>
          <w:spacing w:val="-5"/>
          <w:sz w:val="32"/>
          <w:szCs w:val="32"/>
        </w:rPr>
        <w:t xml:space="preserve"> </w:t>
      </w:r>
      <w:r>
        <w:rPr>
          <w:rFonts w:ascii="仿宋_GB2312" w:eastAsia="仿宋_GB2312" w:hAnsi="仿宋_GB2312" w:cs="仿宋_GB2312"/>
          <w:spacing w:val="-5"/>
          <w:sz w:val="32"/>
          <w:szCs w:val="32"/>
        </w:rPr>
        <w:t xml:space="preserve"> </w:t>
      </w:r>
      <w:r>
        <w:rPr>
          <w:rFonts w:ascii="仿宋_GB2312" w:eastAsia="仿宋_GB2312" w:hAnsi="仿宋_GB2312" w:cs="仿宋_GB2312" w:hint="eastAsia"/>
          <w:spacing w:val="-5"/>
          <w:sz w:val="32"/>
          <w:szCs w:val="32"/>
        </w:rPr>
        <w:t xml:space="preserve">          </w:t>
      </w:r>
      <w:r>
        <w:rPr>
          <w:rFonts w:ascii="仿宋_GB2312" w:eastAsia="仿宋_GB2312" w:hAnsi="仿宋_GB2312" w:cs="仿宋_GB2312" w:hint="eastAsia"/>
          <w:b/>
          <w:bCs/>
          <w:spacing w:val="-5"/>
          <w:sz w:val="32"/>
          <w:szCs w:val="32"/>
        </w:rPr>
        <w:t>普陀区长期护理保险定点居家护理服务机构信用评估分级评分标准</w:t>
      </w:r>
    </w:p>
    <w:p w:rsidR="00C7763F" w:rsidRPr="007A43F5" w:rsidRDefault="00C7763F" w:rsidP="00C7763F">
      <w:pPr>
        <w:spacing w:line="600" w:lineRule="exact"/>
        <w:jc w:val="center"/>
        <w:rPr>
          <w:rFonts w:ascii="仿宋_GB2312" w:eastAsia="仿宋_GB2312" w:hAnsi="黑体" w:cs="方正仿宋_GB2312" w:hint="eastAsia"/>
          <w:sz w:val="32"/>
          <w:szCs w:val="32"/>
        </w:rPr>
      </w:pPr>
      <w:r w:rsidRPr="007A43F5">
        <w:rPr>
          <w:rFonts w:ascii="仿宋_GB2312" w:eastAsia="仿宋_GB2312" w:hAnsi="黑体" w:cs="方正仿宋_GB2312" w:hint="eastAsia"/>
          <w:sz w:val="32"/>
          <w:szCs w:val="32"/>
        </w:rPr>
        <w:t>（修订版）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3389"/>
        <w:gridCol w:w="7789"/>
        <w:gridCol w:w="778"/>
      </w:tblGrid>
      <w:tr w:rsidR="00463B64" w:rsidTr="00463B64">
        <w:trPr>
          <w:trHeight w:val="420"/>
          <w:tblHeader/>
        </w:trPr>
        <w:tc>
          <w:tcPr>
            <w:tcW w:w="714" w:type="pct"/>
            <w:vAlign w:val="center"/>
          </w:tcPr>
          <w:p w:rsidR="00C7763F" w:rsidRDefault="00C7763F" w:rsidP="00C7763F">
            <w:pPr>
              <w:widowControl/>
              <w:spacing w:line="400" w:lineRule="exact"/>
              <w:jc w:val="center"/>
              <w:rPr>
                <w:rFonts w:ascii="仿宋_GB2312" w:eastAsia="仿宋_GB2312" w:hAnsi="等线" w:cs="宋体"/>
                <w:b/>
                <w:bCs/>
                <w:color w:val="000000"/>
                <w:kern w:val="0"/>
                <w:sz w:val="28"/>
                <w:szCs w:val="28"/>
              </w:rPr>
            </w:pPr>
            <w:r>
              <w:rPr>
                <w:rFonts w:ascii="仿宋_GB2312" w:eastAsia="仿宋_GB2312" w:hAnsi="等线" w:cs="宋体" w:hint="eastAsia"/>
                <w:b/>
                <w:bCs/>
                <w:color w:val="000000"/>
                <w:kern w:val="0"/>
                <w:sz w:val="28"/>
                <w:szCs w:val="28"/>
              </w:rPr>
              <w:t>评估项目</w:t>
            </w:r>
          </w:p>
        </w:tc>
        <w:tc>
          <w:tcPr>
            <w:tcW w:w="1215" w:type="pct"/>
            <w:vAlign w:val="center"/>
          </w:tcPr>
          <w:p w:rsidR="00C7763F" w:rsidRDefault="00C7763F" w:rsidP="00C7763F">
            <w:pPr>
              <w:widowControl/>
              <w:spacing w:line="400" w:lineRule="exact"/>
              <w:jc w:val="center"/>
              <w:rPr>
                <w:rFonts w:ascii="仿宋_GB2312" w:eastAsia="仿宋_GB2312" w:hAnsi="等线" w:cs="宋体" w:hint="eastAsia"/>
                <w:b/>
                <w:bCs/>
                <w:color w:val="000000"/>
                <w:kern w:val="0"/>
                <w:sz w:val="28"/>
                <w:szCs w:val="28"/>
              </w:rPr>
            </w:pPr>
            <w:r>
              <w:rPr>
                <w:rFonts w:ascii="仿宋_GB2312" w:eastAsia="仿宋_GB2312" w:hAnsi="等线" w:cs="宋体" w:hint="eastAsia"/>
                <w:b/>
                <w:bCs/>
                <w:color w:val="000000"/>
                <w:kern w:val="0"/>
                <w:sz w:val="28"/>
                <w:szCs w:val="28"/>
              </w:rPr>
              <w:t>评估子项目</w:t>
            </w:r>
          </w:p>
        </w:tc>
        <w:tc>
          <w:tcPr>
            <w:tcW w:w="2792" w:type="pct"/>
            <w:vAlign w:val="center"/>
          </w:tcPr>
          <w:p w:rsidR="00C7763F" w:rsidRDefault="00C7763F" w:rsidP="00C7763F">
            <w:pPr>
              <w:widowControl/>
              <w:spacing w:line="400" w:lineRule="exact"/>
              <w:jc w:val="center"/>
              <w:rPr>
                <w:rFonts w:ascii="仿宋_GB2312" w:eastAsia="仿宋_GB2312" w:hAnsi="等线" w:cs="宋体" w:hint="eastAsia"/>
                <w:b/>
                <w:bCs/>
                <w:color w:val="000000"/>
                <w:kern w:val="0"/>
                <w:sz w:val="28"/>
                <w:szCs w:val="28"/>
              </w:rPr>
            </w:pPr>
            <w:r>
              <w:rPr>
                <w:rFonts w:ascii="仿宋_GB2312" w:eastAsia="仿宋_GB2312" w:hAnsi="等线" w:cs="宋体" w:hint="eastAsia"/>
                <w:b/>
                <w:bCs/>
                <w:color w:val="000000"/>
                <w:kern w:val="0"/>
                <w:sz w:val="28"/>
                <w:szCs w:val="28"/>
              </w:rPr>
              <w:t>评估内容</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b/>
                <w:bCs/>
                <w:color w:val="000000"/>
                <w:kern w:val="0"/>
                <w:sz w:val="28"/>
                <w:szCs w:val="28"/>
              </w:rPr>
            </w:pPr>
            <w:r>
              <w:rPr>
                <w:rFonts w:ascii="仿宋_GB2312" w:eastAsia="仿宋_GB2312" w:hAnsi="等线" w:cs="宋体" w:hint="eastAsia"/>
                <w:b/>
                <w:bCs/>
                <w:color w:val="000000"/>
                <w:kern w:val="0"/>
                <w:sz w:val="28"/>
                <w:szCs w:val="28"/>
              </w:rPr>
              <w:t>分值</w:t>
            </w:r>
          </w:p>
        </w:tc>
      </w:tr>
      <w:tr w:rsidR="00463B64" w:rsidTr="00463B64">
        <w:trPr>
          <w:trHeight w:val="2040"/>
        </w:trPr>
        <w:tc>
          <w:tcPr>
            <w:tcW w:w="714" w:type="pct"/>
            <w:vMerge w:val="restar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日常监管信息</w:t>
            </w:r>
            <w:bookmarkStart w:id="0" w:name="_GoBack"/>
            <w:bookmarkEnd w:id="0"/>
          </w:p>
        </w:tc>
        <w:tc>
          <w:tcPr>
            <w:tcW w:w="1215" w:type="pct"/>
            <w:vMerge w:val="restar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1.</w:t>
            </w:r>
            <w:r>
              <w:rPr>
                <w:rFonts w:eastAsia="仿宋_GB2312"/>
                <w:color w:val="000000"/>
                <w:kern w:val="0"/>
                <w:sz w:val="28"/>
                <w:szCs w:val="28"/>
              </w:rPr>
              <w:t xml:space="preserve"> </w:t>
            </w:r>
            <w:r>
              <w:rPr>
                <w:rFonts w:ascii="仿宋_GB2312" w:eastAsia="仿宋_GB2312" w:hAnsi="等线" w:cs="宋体" w:hint="eastAsia"/>
                <w:color w:val="000000"/>
                <w:kern w:val="0"/>
                <w:sz w:val="28"/>
                <w:szCs w:val="28"/>
              </w:rPr>
              <w:t>机构管理</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1.1建立健全本机构有关长护险的各项内部管理制度和工作流程，如长护险工作管理制度、护理质量制度、控制制度、结算日对帐制度、信息安全管理制度、档案管理制度、考核制度、培训制度、投诉举报处理制度等，并保证各项管理制度与措施的有效执行。</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825"/>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1.2保证医保网络与互联网物理隔离；禁止客户端安装与工作无关软件；做好网络安全升级维护工作，病毒库及时更新。</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1230"/>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restar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2.护理服务</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2.1护理人员数量应与机构服务能力和服务需求相匹配，机构应与护理人员依法签订劳动合同或协议，明确工作内容和薪酬，并落实第三方责任保险。</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w:t>
            </w:r>
          </w:p>
        </w:tc>
      </w:tr>
      <w:tr w:rsidR="00463B64" w:rsidTr="00463B64">
        <w:trPr>
          <w:trHeight w:val="1635"/>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2.2护理人员应持护士执业证、健康照护证、养老护理员证、养老护理员（医疗照护）证上岗，并纳入长护险信息化管理，机构应在服务费用结算完成后2周内及时更新和维护护理人员信息库。</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1635"/>
        </w:trPr>
        <w:tc>
          <w:tcPr>
            <w:tcW w:w="714" w:type="pct"/>
            <w:vMerge w:val="restart"/>
            <w:vAlign w:val="center"/>
          </w:tcPr>
          <w:p w:rsidR="00C7763F" w:rsidRDefault="00C7763F" w:rsidP="00C7763F">
            <w:pPr>
              <w:spacing w:line="40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lastRenderedPageBreak/>
              <w:t>日常监管信息</w:t>
            </w:r>
          </w:p>
        </w:tc>
        <w:tc>
          <w:tcPr>
            <w:tcW w:w="1215" w:type="pct"/>
            <w:vMerge w:val="restart"/>
            <w:vAlign w:val="center"/>
          </w:tcPr>
          <w:p w:rsidR="00C7763F" w:rsidRDefault="00C7763F" w:rsidP="00C7763F">
            <w:pPr>
              <w:widowControl/>
              <w:spacing w:line="4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2.护理服务</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2.3认真核实参保人员的姓名、身份证号、服务地址、评估等级、评估有效期和参保类别。建立并更新服务对象信息资料，机构应在服务费用结算完成后1个月内及时更新和维护服务对象信息（包括老人去世、居住地址变更）。</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4</w:t>
            </w:r>
          </w:p>
        </w:tc>
      </w:tr>
      <w:tr w:rsidR="00463B64" w:rsidTr="00463B64">
        <w:trPr>
          <w:trHeight w:val="2040"/>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2.4自觉遵守长护险相关法律法规，执行上级部门下发的政策文件。规范护理机构服务对象转出、转入操作，转入机构及时与转出机构做好沟通协调，杜绝不正当竞争行为。甄别老人转出护理机构的真实诉求，对存在不正当竞争行为的机构进行责任判定。</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12</w:t>
            </w:r>
          </w:p>
        </w:tc>
      </w:tr>
      <w:tr w:rsidR="00463B64" w:rsidTr="00463B64">
        <w:trPr>
          <w:trHeight w:val="825"/>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2.5按规定制定护理服务计划，制定计划时与老人合影留存备查,并按要求签字确认。</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825"/>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2.6护理人员需根据护理计划内容执行护理服务；每次服务必须由服务对象或家属在服务确认单上签字认可。</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w:t>
            </w:r>
          </w:p>
        </w:tc>
      </w:tr>
      <w:tr w:rsidR="00463B64" w:rsidTr="00463B64">
        <w:trPr>
          <w:trHeight w:val="1230"/>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2.7制定全年访护计划，并定期询问服务对象，客观记录护理服务人员的服务态度、服务质量，形成《长护险访护评价报告》。访护评价真实客观。</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w:t>
            </w:r>
          </w:p>
        </w:tc>
      </w:tr>
      <w:tr w:rsidR="00463B64" w:rsidTr="00463B64">
        <w:trPr>
          <w:trHeight w:val="825"/>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2.8无特殊情况下在提供服务的3个月内结算相关费用，开具结算收据。禁止使用辅助程序上传无效服务内容。</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420"/>
        </w:trPr>
        <w:tc>
          <w:tcPr>
            <w:tcW w:w="714" w:type="pct"/>
            <w:vMerge w:val="restart"/>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hint="eastAsia"/>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日常监管信息</w:t>
            </w: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color w:val="000000"/>
                <w:kern w:val="0"/>
                <w:sz w:val="28"/>
                <w:szCs w:val="28"/>
              </w:rPr>
            </w:pPr>
          </w:p>
          <w:p w:rsidR="00C7763F" w:rsidRDefault="00C7763F" w:rsidP="00C7763F">
            <w:pPr>
              <w:widowControl/>
              <w:spacing w:line="400" w:lineRule="exact"/>
              <w:jc w:val="left"/>
              <w:rPr>
                <w:rFonts w:ascii="仿宋_GB2312" w:eastAsia="仿宋_GB2312" w:hAnsi="等线" w:cs="宋体" w:hint="eastAsia"/>
                <w:color w:val="000000"/>
                <w:kern w:val="0"/>
                <w:sz w:val="28"/>
                <w:szCs w:val="28"/>
              </w:rPr>
            </w:pPr>
          </w:p>
          <w:p w:rsidR="00C7763F" w:rsidRDefault="00C7763F" w:rsidP="00C7763F">
            <w:pPr>
              <w:widowControl/>
              <w:spacing w:line="400" w:lineRule="exact"/>
              <w:jc w:val="left"/>
              <w:rPr>
                <w:rFonts w:ascii="仿宋_GB2312" w:eastAsia="仿宋_GB2312" w:hAnsi="等线" w:cs="宋体" w:hint="eastAsia"/>
                <w:color w:val="000000"/>
                <w:kern w:val="0"/>
                <w:sz w:val="28"/>
                <w:szCs w:val="28"/>
              </w:rPr>
            </w:pPr>
          </w:p>
          <w:p w:rsidR="00C7763F" w:rsidRDefault="00C7763F" w:rsidP="00C7763F">
            <w:pPr>
              <w:widowControl/>
              <w:spacing w:line="400" w:lineRule="exact"/>
              <w:jc w:val="lef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日常监管信息</w:t>
            </w:r>
          </w:p>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restart"/>
            <w:vAlign w:val="center"/>
          </w:tcPr>
          <w:p w:rsidR="00C7763F" w:rsidRDefault="00C7763F" w:rsidP="00C7763F">
            <w:pPr>
              <w:widowControl/>
              <w:spacing w:line="4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lastRenderedPageBreak/>
              <w:t>2.护理服务</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2.9应当合理安排护理人员的服务时长，保证服务质量。</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825"/>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2.10护理人员签到时间不在岗且未事先向机构报备认定为“虚假签到”。</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5</w:t>
            </w:r>
          </w:p>
        </w:tc>
      </w:tr>
      <w:tr w:rsidR="00463B64" w:rsidTr="00463B64">
        <w:trPr>
          <w:trHeight w:val="825"/>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restar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3.监督管理</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3.1监管平台安装、应用实现全覆盖，积极运用平台实现规范管理，并及时更新、升级监管系统。</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1</w:t>
            </w:r>
          </w:p>
        </w:tc>
      </w:tr>
      <w:tr w:rsidR="00463B64" w:rsidTr="00463B64">
        <w:trPr>
          <w:trHeight w:val="825"/>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3.2使用智慧长护平台进行签到，并对签到异常数据进行核实，核实后未签到率不大于2%。</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4</w:t>
            </w:r>
          </w:p>
        </w:tc>
      </w:tr>
      <w:tr w:rsidR="00463B64" w:rsidTr="00463B64">
        <w:trPr>
          <w:trHeight w:val="825"/>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3.3主动配合医保部门开展监督检查工作，并提供相关资料；对监督检查中发现的问题，及时落实有效整改。</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5</w:t>
            </w:r>
          </w:p>
        </w:tc>
      </w:tr>
      <w:tr w:rsidR="00463B64" w:rsidTr="00463B64">
        <w:trPr>
          <w:trHeight w:val="825"/>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3.4配备专职的长护险监管人员，定期进行监管自查，按要求保存视频检查材料，并将自查情况做好记录。</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825"/>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3.5“12345”来电中涉及到的护理机构需及时、妥善处理各类投诉举报，有责投诉应在3个工作日内反馈处置情况。</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10</w:t>
            </w:r>
          </w:p>
        </w:tc>
      </w:tr>
      <w:tr w:rsidR="00463B64" w:rsidTr="00463B64">
        <w:trPr>
          <w:trHeight w:val="825"/>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3.6积极配合医保部门开展线下稽核专项工作，对检查中发现的问题及时落实有效整改。</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6</w:t>
            </w:r>
          </w:p>
        </w:tc>
      </w:tr>
      <w:tr w:rsidR="00463B64" w:rsidTr="00463B64">
        <w:trPr>
          <w:trHeight w:val="825"/>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3.7认真履行长护险服务协议，接收老人评估结果前，以书面形式与老人及家属确认评估结果，无异议再接收。</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1230"/>
        </w:trPr>
        <w:tc>
          <w:tcPr>
            <w:tcW w:w="714" w:type="pct"/>
            <w:vMerge/>
            <w:vAlign w:val="center"/>
          </w:tcPr>
          <w:p w:rsidR="00C7763F" w:rsidRDefault="00C7763F" w:rsidP="00C7763F">
            <w:pPr>
              <w:spacing w:line="400" w:lineRule="exact"/>
              <w:jc w:val="left"/>
              <w:rPr>
                <w:rFonts w:ascii="仿宋_GB2312" w:eastAsia="仿宋_GB2312" w:hAnsi="等线" w:cs="宋体"/>
                <w:color w:val="000000"/>
                <w:kern w:val="0"/>
                <w:sz w:val="28"/>
                <w:szCs w:val="28"/>
              </w:rPr>
            </w:pPr>
          </w:p>
        </w:tc>
        <w:tc>
          <w:tcPr>
            <w:tcW w:w="1215" w:type="pct"/>
            <w:vMerge w:val="restart"/>
            <w:vAlign w:val="center"/>
          </w:tcPr>
          <w:p w:rsidR="00C7763F" w:rsidRDefault="00C7763F" w:rsidP="00C7763F">
            <w:pPr>
              <w:widowControl/>
              <w:spacing w:line="4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3.监督管理</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3.8不得为长护险护理服务对象外的人员提供服务和结算长护险护理服务费用，不得将服务对象扩大至参保人家属。</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420"/>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3.9主动配合视频稽核，视频接通率符合管理规定。</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w:t>
            </w:r>
          </w:p>
        </w:tc>
      </w:tr>
      <w:tr w:rsidR="00463B64" w:rsidTr="00463B64">
        <w:trPr>
          <w:trHeight w:val="1230"/>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3.10上传的服务确认单、智慧长护平台实际签到情况、支付意见书三者需一致，并根据支付意见书进行费用结算；禁止使用虚拟定位辅助软件。</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8</w:t>
            </w:r>
          </w:p>
        </w:tc>
      </w:tr>
      <w:tr w:rsidR="00463B64" w:rsidTr="00463B64">
        <w:trPr>
          <w:trHeight w:val="1230"/>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restar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4.宣传培训</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4.1配合医保部门，通过各种形式开展长护险政策宣传活动，结合护理服务开展反医保欺诈等宣传活动，做好活动记录，并及时上报活动信息。</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825"/>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4.2定期开展护理人员各类培训，包括业务能力和职业素养等。</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825"/>
        </w:trPr>
        <w:tc>
          <w:tcPr>
            <w:tcW w:w="714"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1215" w:type="pct"/>
            <w:vMerge/>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4.3开展疫情防控常态化管理，强化护理人员消毒隔离和个人防护措施，做好相关物资贮备。</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2</w:t>
            </w:r>
          </w:p>
        </w:tc>
      </w:tr>
      <w:tr w:rsidR="00463B64" w:rsidTr="00463B64">
        <w:trPr>
          <w:trHeight w:val="780"/>
        </w:trPr>
        <w:tc>
          <w:tcPr>
            <w:tcW w:w="714"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公共信用信息</w:t>
            </w:r>
          </w:p>
        </w:tc>
        <w:tc>
          <w:tcPr>
            <w:tcW w:w="1215"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5.其它部门行政处罚信息</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5.查看机构是否有其它行政部门行政处罚情形。</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6</w:t>
            </w:r>
          </w:p>
        </w:tc>
      </w:tr>
      <w:tr w:rsidR="00463B64" w:rsidTr="00463B64">
        <w:trPr>
          <w:trHeight w:val="1140"/>
        </w:trPr>
        <w:tc>
          <w:tcPr>
            <w:tcW w:w="714" w:type="pct"/>
            <w:vAlign w:val="center"/>
          </w:tcPr>
          <w:p w:rsidR="00C7763F" w:rsidRDefault="00C7763F" w:rsidP="00C7763F">
            <w:pPr>
              <w:widowControl/>
              <w:spacing w:line="40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lastRenderedPageBreak/>
              <w:t>公共信用信息</w:t>
            </w:r>
          </w:p>
        </w:tc>
        <w:tc>
          <w:tcPr>
            <w:tcW w:w="1215"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6.其它不良公共信用信息</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6.查看机构是否有不良公共信息情形（含行政处理）。</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3</w:t>
            </w:r>
          </w:p>
        </w:tc>
      </w:tr>
      <w:tr w:rsidR="00463B64" w:rsidTr="00463B64">
        <w:trPr>
          <w:trHeight w:val="825"/>
        </w:trPr>
        <w:tc>
          <w:tcPr>
            <w:tcW w:w="714"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附加情况</w:t>
            </w:r>
          </w:p>
        </w:tc>
        <w:tc>
          <w:tcPr>
            <w:tcW w:w="1215"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7.附加情况</w:t>
            </w:r>
          </w:p>
        </w:tc>
        <w:tc>
          <w:tcPr>
            <w:tcW w:w="2792" w:type="pct"/>
            <w:vAlign w:val="center"/>
          </w:tcPr>
          <w:p w:rsidR="00C7763F" w:rsidRDefault="00C7763F" w:rsidP="00C7763F">
            <w:pPr>
              <w:widowControl/>
              <w:spacing w:line="400" w:lineRule="exact"/>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7.落实护理人员健康体检、护理服务有亮点、机构管理有创新，长护险工作有显著成效。</w:t>
            </w:r>
          </w:p>
        </w:tc>
        <w:tc>
          <w:tcPr>
            <w:tcW w:w="279" w:type="pct"/>
            <w:vAlign w:val="center"/>
          </w:tcPr>
          <w:p w:rsidR="00C7763F" w:rsidRDefault="00C7763F" w:rsidP="00C7763F">
            <w:pPr>
              <w:widowControl/>
              <w:spacing w:line="400" w:lineRule="exact"/>
              <w:jc w:val="center"/>
              <w:rPr>
                <w:rFonts w:ascii="仿宋_GB2312" w:eastAsia="仿宋_GB2312" w:hAnsi="等线" w:cs="宋体" w:hint="eastAsia"/>
                <w:color w:val="000000"/>
                <w:kern w:val="0"/>
                <w:sz w:val="28"/>
                <w:szCs w:val="28"/>
              </w:rPr>
            </w:pPr>
            <w:r>
              <w:rPr>
                <w:rFonts w:ascii="仿宋_GB2312" w:eastAsia="仿宋_GB2312" w:hAnsi="等线" w:cs="宋体" w:hint="eastAsia"/>
                <w:color w:val="000000"/>
                <w:kern w:val="0"/>
                <w:sz w:val="28"/>
                <w:szCs w:val="28"/>
              </w:rPr>
              <w:t>0-3</w:t>
            </w:r>
          </w:p>
        </w:tc>
      </w:tr>
    </w:tbl>
    <w:p w:rsidR="00E97733" w:rsidRDefault="00463B64"/>
    <w:sectPr w:rsidR="00E97733" w:rsidSect="00C7763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等线">
    <w:altName w:val="DengXian"/>
    <w:panose1 w:val="02010600030101010101"/>
    <w:charset w:val="86"/>
    <w:family w:val="auto"/>
    <w:pitch w:val="variable"/>
    <w:sig w:usb0="00000287"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3F"/>
    <w:rsid w:val="00066248"/>
    <w:rsid w:val="000D5876"/>
    <w:rsid w:val="002C52A6"/>
    <w:rsid w:val="00463B64"/>
    <w:rsid w:val="009B299E"/>
    <w:rsid w:val="00A9593B"/>
    <w:rsid w:val="00C77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9B81"/>
  <w15:chartTrackingRefBased/>
  <w15:docId w15:val="{DF123194-5DB4-42A4-9D84-36810119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6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王瑶</dc:creator>
  <cp:keywords/>
  <dc:description/>
  <cp:lastModifiedBy>王瑶</cp:lastModifiedBy>
  <cp:revision>2</cp:revision>
  <dcterms:created xsi:type="dcterms:W3CDTF">2023-12-11T07:07:00Z</dcterms:created>
  <dcterms:modified xsi:type="dcterms:W3CDTF">2023-12-11T07:14:00Z</dcterms:modified>
</cp:coreProperties>
</file>