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pStyle w:val="7"/>
        <w:keepNext w:val="0"/>
        <w:keepLines w:val="0"/>
        <w:pageBreakBefore w:val="0"/>
        <w:widowControl w:val="0"/>
        <w:kinsoku/>
        <w:wordWrap/>
        <w:overflowPunct/>
        <w:topLinePunct w:val="0"/>
        <w:autoSpaceDE/>
        <w:autoSpaceDN/>
        <w:bidi w:val="0"/>
        <w:snapToGrid w:val="0"/>
        <w:spacing w:line="560" w:lineRule="exact"/>
        <w:ind w:left="0"/>
        <w:jc w:val="center"/>
        <w:outlineLvl w:val="9"/>
        <w:rPr>
          <w:rFonts w:hint="eastAsia" w:asciiTheme="majorEastAsia" w:hAnsiTheme="majorEastAsia" w:eastAsiaTheme="majorEastAsia" w:cstheme="majorEastAsia"/>
          <w:sz w:val="44"/>
          <w:szCs w:val="44"/>
          <w:lang w:val="zh-CN"/>
        </w:rPr>
      </w:pPr>
      <w:r>
        <w:rPr>
          <w:rFonts w:hint="eastAsia" w:asciiTheme="majorEastAsia" w:hAnsiTheme="majorEastAsia" w:eastAsiaTheme="majorEastAsia" w:cstheme="majorEastAsia"/>
          <w:sz w:val="44"/>
          <w:szCs w:val="44"/>
          <w:lang w:val="zh-CN"/>
        </w:rPr>
        <w:t>上海市税费征收服务和保障办法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0" w:firstLineChars="0"/>
        <w:jc w:val="center"/>
        <w:textAlignment w:val="auto"/>
        <w:outlineLvl w:val="9"/>
        <w:rPr>
          <w:rFonts w:hint="eastAsia" w:ascii="楷体_GB2312" w:hAnsi="楷体_GB2312" w:eastAsia="楷体_GB2312" w:cs="楷体_GB2312"/>
          <w:i w:val="0"/>
          <w:caps w:val="0"/>
          <w:color w:val="auto"/>
          <w:spacing w:val="0"/>
          <w:kern w:val="0"/>
          <w:sz w:val="32"/>
          <w:szCs w:val="32"/>
          <w:lang w:val="en-US" w:eastAsia="zh-CN" w:bidi="ar"/>
        </w:rPr>
      </w:pPr>
      <w:r>
        <w:rPr>
          <w:rFonts w:hint="eastAsia" w:ascii="楷体_GB2312" w:hAnsi="楷体_GB2312" w:eastAsia="楷体_GB2312" w:cs="楷体_GB2312"/>
          <w:i w:val="0"/>
          <w:caps w:val="0"/>
          <w:color w:val="auto"/>
          <w:spacing w:val="0"/>
          <w:kern w:val="0"/>
          <w:sz w:val="32"/>
          <w:szCs w:val="32"/>
          <w:lang w:val="en-US" w:eastAsia="zh-CN" w:bidi="ar"/>
        </w:rPr>
        <w:t>（2024年2月23日上海市人民政府令第10号公布  根据2024年11月25日上海市人民政府令第14号修正）</w:t>
      </w:r>
    </w:p>
    <w:p>
      <w:pPr>
        <w:pStyle w:val="7"/>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jc w:val="center"/>
        <w:outlineLvl w:val="9"/>
        <w:rPr>
          <w:rFonts w:hint="eastAsia" w:ascii="黑体" w:hAnsi="黑体" w:eastAsia="黑体"/>
          <w:sz w:val="32"/>
          <w:szCs w:val="32"/>
          <w:lang w:val="zh-CN"/>
        </w:rPr>
      </w:pPr>
    </w:p>
    <w:p>
      <w:pPr>
        <w:pStyle w:val="7"/>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jc w:val="center"/>
        <w:outlineLvl w:val="9"/>
        <w:rPr>
          <w:rFonts w:ascii="黑体" w:hAnsi="黑体" w:eastAsia="黑体"/>
          <w:sz w:val="32"/>
          <w:szCs w:val="32"/>
        </w:rPr>
      </w:pPr>
      <w:r>
        <w:rPr>
          <w:rFonts w:hint="eastAsia" w:ascii="黑体" w:hAnsi="黑体" w:eastAsia="黑体"/>
          <w:sz w:val="32"/>
          <w:szCs w:val="32"/>
          <w:lang w:val="zh-CN"/>
        </w:rPr>
        <w:t>第一章 总</w:t>
      </w:r>
      <w:r>
        <w:rPr>
          <w:rFonts w:hint="eastAsia" w:ascii="黑体" w:hAnsi="黑体" w:eastAsia="黑体"/>
          <w:sz w:val="32"/>
          <w:szCs w:val="32"/>
          <w:lang w:val="en-US" w:eastAsia="zh-CN"/>
        </w:rPr>
        <w:t xml:space="preserve"> </w:t>
      </w:r>
      <w:r>
        <w:rPr>
          <w:rFonts w:hint="eastAsia" w:ascii="黑体" w:hAnsi="黑体" w:eastAsia="黑体"/>
          <w:sz w:val="32"/>
          <w:szCs w:val="32"/>
          <w:lang w:val="zh-CN"/>
        </w:rPr>
        <w:t>则</w:t>
      </w:r>
    </w:p>
    <w:p>
      <w:pPr>
        <w:pStyle w:val="7"/>
        <w:keepNext w:val="0"/>
        <w:keepLines w:val="0"/>
        <w:pageBreakBefore w:val="0"/>
        <w:widowControl w:val="0"/>
        <w:kinsoku/>
        <w:wordWrap/>
        <w:overflowPunct/>
        <w:topLinePunct w:val="0"/>
        <w:autoSpaceDE/>
        <w:autoSpaceDN/>
        <w:bidi w:val="0"/>
        <w:snapToGrid w:val="0"/>
        <w:spacing w:line="560" w:lineRule="exact"/>
        <w:ind w:left="0"/>
        <w:jc w:val="both"/>
        <w:outlineLvl w:val="9"/>
        <w:rPr>
          <w:rFonts w:ascii="黑体" w:hAnsi="黑体" w:eastAsia="黑体" w:cs="Times"/>
          <w:sz w:val="32"/>
          <w:szCs w:val="32"/>
        </w:rPr>
      </w:pP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hAnsi="Arial" w:eastAsia="仿宋_GB2312" w:cs="Arial"/>
          <w:sz w:val="32"/>
          <w:szCs w:val="32"/>
        </w:rPr>
      </w:pPr>
      <w:r>
        <w:rPr>
          <w:rFonts w:hint="eastAsia" w:ascii="黑体" w:hAnsi="黑体" w:eastAsia="黑体"/>
          <w:sz w:val="32"/>
          <w:szCs w:val="32"/>
          <w:lang w:val="zh-CN"/>
        </w:rPr>
        <w:t>第一条</w:t>
      </w:r>
      <w:r>
        <w:rPr>
          <w:rFonts w:hint="eastAsia" w:ascii="仿宋_GB2312" w:eastAsia="仿宋_GB2312"/>
          <w:sz w:val="32"/>
          <w:szCs w:val="32"/>
          <w:lang w:val="zh-CN"/>
        </w:rPr>
        <w:t>（目的和依据）</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hAnsi="Times" w:eastAsia="仿宋_GB2312" w:cs="Times"/>
          <w:sz w:val="32"/>
          <w:szCs w:val="32"/>
        </w:rPr>
      </w:pPr>
      <w:r>
        <w:rPr>
          <w:rFonts w:hint="eastAsia" w:ascii="仿宋_GB2312" w:eastAsia="仿宋_GB2312"/>
          <w:sz w:val="32"/>
          <w:szCs w:val="32"/>
          <w:lang w:val="zh-CN"/>
        </w:rPr>
        <w:t>为了加强</w:t>
      </w:r>
      <w:r>
        <w:rPr>
          <w:rFonts w:hint="eastAsia" w:ascii="仿宋_GB2312" w:eastAsia="仿宋_GB2312"/>
          <w:sz w:val="32"/>
          <w:szCs w:val="32"/>
        </w:rPr>
        <w:t>本市</w:t>
      </w:r>
      <w:r>
        <w:rPr>
          <w:rFonts w:hint="eastAsia" w:ascii="仿宋_GB2312" w:eastAsia="仿宋_GB2312"/>
          <w:sz w:val="32"/>
          <w:szCs w:val="32"/>
          <w:lang w:val="zh-CN"/>
        </w:rPr>
        <w:t>税费征收</w:t>
      </w:r>
      <w:r>
        <w:rPr>
          <w:rFonts w:hint="eastAsia" w:ascii="仿宋_GB2312" w:eastAsia="仿宋_GB2312"/>
          <w:sz w:val="32"/>
          <w:szCs w:val="32"/>
        </w:rPr>
        <w:t>服务工作，强化</w:t>
      </w:r>
      <w:r>
        <w:rPr>
          <w:rFonts w:hint="eastAsia" w:ascii="仿宋_GB2312" w:eastAsia="仿宋_GB2312"/>
          <w:sz w:val="32"/>
          <w:szCs w:val="32"/>
          <w:lang w:val="zh-CN"/>
        </w:rPr>
        <w:t>征收协作管理，维护纳税人、缴费人</w:t>
      </w:r>
      <w:r>
        <w:rPr>
          <w:rFonts w:hint="eastAsia" w:ascii="仿宋_GB2312" w:eastAsia="仿宋_GB2312"/>
          <w:sz w:val="32"/>
          <w:szCs w:val="32"/>
        </w:rPr>
        <w:t>的</w:t>
      </w:r>
      <w:r>
        <w:rPr>
          <w:rFonts w:hint="eastAsia" w:ascii="仿宋_GB2312" w:eastAsia="仿宋_GB2312"/>
          <w:sz w:val="32"/>
          <w:szCs w:val="32"/>
          <w:lang w:val="zh-CN"/>
        </w:rPr>
        <w:t>合法权益，</w:t>
      </w:r>
      <w:r>
        <w:rPr>
          <w:rFonts w:hint="eastAsia" w:ascii="仿宋_GB2312" w:eastAsia="仿宋_GB2312"/>
          <w:sz w:val="32"/>
          <w:szCs w:val="32"/>
        </w:rPr>
        <w:t>保障</w:t>
      </w:r>
      <w:r>
        <w:rPr>
          <w:rFonts w:hint="eastAsia" w:ascii="仿宋_GB2312" w:eastAsia="仿宋_GB2312"/>
          <w:sz w:val="32"/>
          <w:szCs w:val="32"/>
          <w:lang w:val="zh-CN"/>
        </w:rPr>
        <w:t>经济社会高质量发展，根据《中华人民共和国税收征收管理法》《中华人民共和国社会保险法》等法律、法规</w:t>
      </w:r>
      <w:r>
        <w:rPr>
          <w:rFonts w:hint="eastAsia" w:ascii="仿宋_GB2312" w:eastAsia="仿宋_GB2312"/>
          <w:sz w:val="32"/>
          <w:szCs w:val="32"/>
        </w:rPr>
        <w:t>和国家有关规定</w:t>
      </w:r>
      <w:r>
        <w:rPr>
          <w:rFonts w:hint="eastAsia" w:ascii="仿宋_GB2312" w:eastAsia="仿宋_GB2312"/>
          <w:sz w:val="32"/>
          <w:szCs w:val="32"/>
          <w:lang w:val="zh-CN"/>
        </w:rPr>
        <w:t>，结合本市实际，制定本办法。</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黑体" w:hAnsi="黑体" w:eastAsia="黑体"/>
          <w:sz w:val="32"/>
          <w:szCs w:val="32"/>
          <w:lang w:val="zh-CN"/>
        </w:rPr>
        <w:t>第二条</w:t>
      </w:r>
      <w:r>
        <w:rPr>
          <w:rFonts w:hint="eastAsia" w:ascii="仿宋_GB2312" w:eastAsia="仿宋_GB2312"/>
          <w:sz w:val="32"/>
          <w:szCs w:val="32"/>
          <w:lang w:val="zh-CN"/>
        </w:rPr>
        <w:t>（适用范围）</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hAnsi="Times" w:eastAsia="仿宋_GB2312" w:cs="Times"/>
          <w:sz w:val="32"/>
          <w:szCs w:val="32"/>
        </w:rPr>
      </w:pPr>
      <w:r>
        <w:rPr>
          <w:rFonts w:hint="eastAsia" w:ascii="仿宋_GB2312" w:eastAsia="仿宋_GB2312"/>
          <w:sz w:val="32"/>
          <w:szCs w:val="32"/>
          <w:lang w:val="zh-CN"/>
        </w:rPr>
        <w:t>本</w:t>
      </w:r>
      <w:r>
        <w:rPr>
          <w:rFonts w:hint="eastAsia" w:ascii="仿宋_GB2312" w:eastAsia="仿宋_GB2312"/>
          <w:sz w:val="32"/>
          <w:szCs w:val="32"/>
        </w:rPr>
        <w:t>办法适用于本</w:t>
      </w:r>
      <w:r>
        <w:rPr>
          <w:rFonts w:hint="eastAsia" w:ascii="仿宋_GB2312" w:eastAsia="仿宋_GB2312"/>
          <w:sz w:val="32"/>
          <w:szCs w:val="32"/>
          <w:lang w:val="zh-CN"/>
        </w:rPr>
        <w:t>市行政区域内税费征收</w:t>
      </w:r>
      <w:r>
        <w:rPr>
          <w:rFonts w:hint="eastAsia" w:ascii="仿宋_GB2312" w:eastAsia="仿宋_GB2312"/>
          <w:sz w:val="32"/>
          <w:szCs w:val="32"/>
        </w:rPr>
        <w:t>服务和</w:t>
      </w:r>
      <w:r>
        <w:rPr>
          <w:rFonts w:hint="eastAsia" w:ascii="仿宋_GB2312" w:eastAsia="仿宋_GB2312"/>
          <w:sz w:val="32"/>
          <w:szCs w:val="32"/>
          <w:lang w:val="zh-CN"/>
        </w:rPr>
        <w:t>保障</w:t>
      </w:r>
      <w:r>
        <w:rPr>
          <w:rFonts w:hint="eastAsia" w:ascii="仿宋_GB2312" w:eastAsia="仿宋_GB2312"/>
          <w:sz w:val="32"/>
          <w:szCs w:val="32"/>
        </w:rPr>
        <w:t>等</w:t>
      </w:r>
      <w:r>
        <w:rPr>
          <w:rFonts w:hint="eastAsia" w:ascii="仿宋_GB2312" w:eastAsia="仿宋_GB2312"/>
          <w:sz w:val="32"/>
          <w:szCs w:val="32"/>
          <w:lang w:val="zh-CN"/>
        </w:rPr>
        <w:t>工作。</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hAnsi="Times" w:eastAsia="仿宋_GB2312" w:cs="Times"/>
          <w:sz w:val="32"/>
          <w:szCs w:val="32"/>
        </w:rPr>
      </w:pPr>
      <w:r>
        <w:rPr>
          <w:rFonts w:hint="eastAsia" w:ascii="仿宋_GB2312" w:eastAsia="仿宋_GB2312"/>
          <w:sz w:val="32"/>
          <w:szCs w:val="32"/>
          <w:lang w:val="zh-CN"/>
        </w:rPr>
        <w:t>本办法所称税费，</w:t>
      </w:r>
      <w:r>
        <w:rPr>
          <w:rFonts w:hint="eastAsia" w:ascii="仿宋_GB2312" w:eastAsia="仿宋_GB2312"/>
          <w:sz w:val="32"/>
          <w:szCs w:val="32"/>
        </w:rPr>
        <w:t>包括</w:t>
      </w:r>
      <w:r>
        <w:rPr>
          <w:rFonts w:hint="eastAsia" w:ascii="仿宋_GB2312" w:eastAsia="仿宋_GB2312"/>
          <w:sz w:val="32"/>
          <w:szCs w:val="32"/>
          <w:lang w:val="zh-CN"/>
        </w:rPr>
        <w:t>由税务机关征收的税收、社会保险费和</w:t>
      </w:r>
      <w:r>
        <w:rPr>
          <w:rFonts w:hint="eastAsia" w:ascii="仿宋_GB2312" w:eastAsia="仿宋_GB2312"/>
          <w:sz w:val="32"/>
          <w:szCs w:val="32"/>
        </w:rPr>
        <w:t>政府</w:t>
      </w:r>
      <w:r>
        <w:rPr>
          <w:rFonts w:hint="eastAsia" w:ascii="仿宋_GB2312" w:eastAsia="仿宋_GB2312"/>
          <w:sz w:val="32"/>
          <w:szCs w:val="32"/>
          <w:lang w:val="zh-CN"/>
        </w:rPr>
        <w:t>非税收入。</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黑体" w:hAnsi="黑体" w:eastAsia="黑体"/>
          <w:sz w:val="32"/>
          <w:szCs w:val="32"/>
          <w:lang w:val="zh-CN"/>
        </w:rPr>
        <w:t>第</w:t>
      </w:r>
      <w:r>
        <w:rPr>
          <w:rFonts w:hint="eastAsia" w:ascii="黑体" w:hAnsi="黑体" w:eastAsia="黑体"/>
          <w:sz w:val="32"/>
          <w:szCs w:val="32"/>
        </w:rPr>
        <w:t>三</w:t>
      </w:r>
      <w:r>
        <w:rPr>
          <w:rFonts w:hint="eastAsia" w:ascii="黑体" w:hAnsi="黑体" w:eastAsia="黑体"/>
          <w:sz w:val="32"/>
          <w:szCs w:val="32"/>
          <w:lang w:val="zh-CN"/>
        </w:rPr>
        <w:t>条</w:t>
      </w:r>
      <w:r>
        <w:rPr>
          <w:rFonts w:hint="eastAsia" w:ascii="仿宋_GB2312" w:eastAsia="仿宋_GB2312"/>
          <w:sz w:val="32"/>
          <w:szCs w:val="32"/>
          <w:lang w:val="zh-CN"/>
        </w:rPr>
        <w:t>（政府职责）</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rPr>
      </w:pPr>
      <w:r>
        <w:rPr>
          <w:rFonts w:hint="eastAsia" w:ascii="仿宋_GB2312" w:eastAsia="仿宋_GB2312"/>
          <w:sz w:val="32"/>
          <w:szCs w:val="32"/>
          <w:lang w:val="zh-CN"/>
        </w:rPr>
        <w:t>市、区人民政府应当加强对本行政区域内税费征收服务和保障工作的领导，协调督促相关部门和单位落实税费征收</w:t>
      </w:r>
      <w:r>
        <w:rPr>
          <w:rFonts w:hint="eastAsia" w:ascii="仿宋_GB2312" w:eastAsia="仿宋_GB2312"/>
          <w:sz w:val="32"/>
          <w:szCs w:val="32"/>
        </w:rPr>
        <w:t>服务和</w:t>
      </w:r>
      <w:r>
        <w:rPr>
          <w:rFonts w:hint="eastAsia" w:ascii="仿宋_GB2312" w:eastAsia="仿宋_GB2312"/>
          <w:sz w:val="32"/>
          <w:szCs w:val="32"/>
          <w:lang w:val="zh-CN"/>
        </w:rPr>
        <w:t>保障措施，</w:t>
      </w:r>
      <w:r>
        <w:rPr>
          <w:rFonts w:hint="eastAsia" w:ascii="仿宋_GB2312" w:eastAsia="仿宋_GB2312"/>
          <w:sz w:val="32"/>
          <w:szCs w:val="32"/>
        </w:rPr>
        <w:t>协调解决税费征收管理过程中的重大问题。</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黑体" w:hAnsi="黑体" w:eastAsia="黑体"/>
          <w:sz w:val="32"/>
          <w:szCs w:val="32"/>
          <w:lang w:val="zh-CN"/>
        </w:rPr>
        <w:t>第</w:t>
      </w:r>
      <w:r>
        <w:rPr>
          <w:rFonts w:hint="eastAsia" w:ascii="黑体" w:hAnsi="黑体" w:eastAsia="黑体"/>
          <w:sz w:val="32"/>
          <w:szCs w:val="32"/>
        </w:rPr>
        <w:t>四</w:t>
      </w:r>
      <w:r>
        <w:rPr>
          <w:rFonts w:hint="eastAsia" w:ascii="黑体" w:hAnsi="黑体" w:eastAsia="黑体"/>
          <w:sz w:val="32"/>
          <w:szCs w:val="32"/>
          <w:lang w:val="zh-CN"/>
        </w:rPr>
        <w:t>条</w:t>
      </w:r>
      <w:r>
        <w:rPr>
          <w:rFonts w:hint="eastAsia" w:ascii="仿宋_GB2312" w:eastAsia="仿宋_GB2312"/>
          <w:sz w:val="32"/>
          <w:szCs w:val="32"/>
          <w:lang w:val="zh-CN"/>
        </w:rPr>
        <w:t>（部门职责）</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hAnsi="Times" w:eastAsia="仿宋_GB2312" w:cs="Times"/>
          <w:sz w:val="32"/>
          <w:szCs w:val="32"/>
        </w:rPr>
      </w:pPr>
      <w:r>
        <w:rPr>
          <w:rFonts w:hint="eastAsia" w:ascii="仿宋_GB2312" w:eastAsia="仿宋_GB2312"/>
          <w:sz w:val="32"/>
          <w:szCs w:val="32"/>
          <w:lang w:val="zh-CN"/>
        </w:rPr>
        <w:t>税务机关应当依法履行税费征收管理职责，做好税费征收服务和保障工作。</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rPr>
      </w:pPr>
      <w:r>
        <w:rPr>
          <w:rFonts w:hint="eastAsia" w:ascii="仿宋_GB2312" w:eastAsia="仿宋_GB2312"/>
          <w:sz w:val="32"/>
          <w:szCs w:val="32"/>
          <w:lang w:val="zh-CN"/>
        </w:rPr>
        <w:t>人力资源社会保障、医保等与社会保险费征收业务直接相关的</w:t>
      </w:r>
      <w:r>
        <w:rPr>
          <w:rFonts w:hint="eastAsia" w:ascii="仿宋_GB2312" w:eastAsia="仿宋_GB2312"/>
          <w:sz w:val="32"/>
          <w:szCs w:val="32"/>
        </w:rPr>
        <w:t>部门，以及规划资源、水务、国防动员等与政府非税收入征收业务直接相关的部门（以下统称非税收入相关部门），应当与税务机关建立社会保险费和政府非税收入征收协作机制，协助做好税费</w:t>
      </w:r>
      <w:r>
        <w:rPr>
          <w:rFonts w:hint="eastAsia" w:ascii="仿宋_GB2312" w:eastAsia="仿宋_GB2312"/>
          <w:sz w:val="32"/>
          <w:szCs w:val="32"/>
          <w:lang w:val="zh-CN"/>
        </w:rPr>
        <w:t>征收</w:t>
      </w:r>
      <w:r>
        <w:rPr>
          <w:rFonts w:hint="eastAsia" w:ascii="仿宋_GB2312" w:eastAsia="仿宋_GB2312"/>
          <w:sz w:val="32"/>
          <w:szCs w:val="32"/>
        </w:rPr>
        <w:t>服务和保障工作。</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仿宋_GB2312" w:eastAsia="仿宋_GB2312"/>
          <w:sz w:val="32"/>
          <w:szCs w:val="32"/>
        </w:rPr>
        <w:t>发展改革、财政、</w:t>
      </w:r>
      <w:r>
        <w:rPr>
          <w:rFonts w:hint="eastAsia" w:ascii="仿宋_GB2312" w:eastAsia="仿宋_GB2312"/>
          <w:sz w:val="32"/>
          <w:szCs w:val="32"/>
          <w:lang w:val="zh-CN"/>
        </w:rPr>
        <w:t>公安、市场监管、民政、</w:t>
      </w:r>
      <w:r>
        <w:rPr>
          <w:rFonts w:hint="eastAsia" w:ascii="仿宋_GB2312" w:eastAsia="仿宋_GB2312"/>
          <w:sz w:val="32"/>
          <w:szCs w:val="32"/>
        </w:rPr>
        <w:t>商务、</w:t>
      </w:r>
      <w:r>
        <w:rPr>
          <w:rFonts w:hint="eastAsia" w:ascii="仿宋_GB2312" w:eastAsia="仿宋_GB2312"/>
          <w:sz w:val="32"/>
          <w:szCs w:val="32"/>
          <w:lang w:val="zh-CN"/>
        </w:rPr>
        <w:t>房屋管理、</w:t>
      </w:r>
      <w:r>
        <w:rPr>
          <w:rFonts w:hint="eastAsia" w:ascii="仿宋_GB2312" w:eastAsia="仿宋_GB2312"/>
          <w:sz w:val="32"/>
          <w:szCs w:val="32"/>
        </w:rPr>
        <w:t>生态环境</w:t>
      </w:r>
      <w:r>
        <w:rPr>
          <w:rFonts w:hint="eastAsia" w:ascii="仿宋_GB2312" w:eastAsia="仿宋_GB2312"/>
          <w:sz w:val="32"/>
          <w:szCs w:val="32"/>
          <w:lang w:val="zh-CN"/>
        </w:rPr>
        <w:t>等相关部门</w:t>
      </w:r>
      <w:r>
        <w:rPr>
          <w:rFonts w:hint="eastAsia" w:ascii="仿宋_GB2312" w:eastAsia="仿宋_GB2312"/>
          <w:sz w:val="32"/>
          <w:szCs w:val="32"/>
        </w:rPr>
        <w:t>和海关</w:t>
      </w:r>
      <w:r>
        <w:rPr>
          <w:rFonts w:hint="eastAsia" w:ascii="仿宋_GB2312" w:eastAsia="仿宋_GB2312"/>
          <w:sz w:val="32"/>
          <w:szCs w:val="32"/>
          <w:lang w:val="zh-CN"/>
        </w:rPr>
        <w:t>、外汇管理</w:t>
      </w:r>
      <w:r>
        <w:rPr>
          <w:rFonts w:hint="eastAsia" w:ascii="仿宋_GB2312" w:eastAsia="仿宋_GB2312"/>
          <w:sz w:val="32"/>
          <w:szCs w:val="32"/>
        </w:rPr>
        <w:t>等单位</w:t>
      </w:r>
      <w:r>
        <w:rPr>
          <w:rFonts w:hint="eastAsia" w:ascii="仿宋_GB2312" w:eastAsia="仿宋_GB2312"/>
          <w:sz w:val="32"/>
          <w:szCs w:val="32"/>
          <w:lang w:val="zh-CN"/>
        </w:rPr>
        <w:t>应当按照职责分工，支持、协助税务机关和其他相关部门依法履行税费征收</w:t>
      </w:r>
      <w:r>
        <w:rPr>
          <w:rFonts w:hint="eastAsia" w:ascii="仿宋_GB2312" w:eastAsia="仿宋_GB2312"/>
          <w:sz w:val="32"/>
          <w:szCs w:val="32"/>
        </w:rPr>
        <w:t>服务</w:t>
      </w:r>
      <w:r>
        <w:rPr>
          <w:rFonts w:hint="eastAsia" w:ascii="仿宋_GB2312" w:eastAsia="仿宋_GB2312"/>
          <w:sz w:val="32"/>
          <w:szCs w:val="32"/>
          <w:lang w:val="zh-CN"/>
        </w:rPr>
        <w:t>和保障职责。</w:t>
      </w:r>
    </w:p>
    <w:p>
      <w:pPr>
        <w:pStyle w:val="7"/>
        <w:keepNext w:val="0"/>
        <w:keepLines w:val="0"/>
        <w:pageBreakBefore w:val="0"/>
        <w:widowControl w:val="0"/>
        <w:kinsoku/>
        <w:wordWrap/>
        <w:overflowPunct/>
        <w:topLinePunct w:val="0"/>
        <w:autoSpaceDE/>
        <w:autoSpaceDN/>
        <w:bidi w:val="0"/>
        <w:spacing w:line="560" w:lineRule="exact"/>
        <w:ind w:left="0" w:firstLine="640"/>
        <w:jc w:val="both"/>
        <w:outlineLvl w:val="9"/>
        <w:rPr>
          <w:rFonts w:ascii="仿宋_GB2312" w:eastAsia="仿宋_GB2312"/>
          <w:sz w:val="32"/>
          <w:szCs w:val="32"/>
          <w:lang w:val="zh-CN"/>
        </w:rPr>
      </w:pPr>
      <w:r>
        <w:rPr>
          <w:rFonts w:hint="eastAsia" w:ascii="黑体" w:hAnsi="黑体" w:eastAsia="黑体"/>
          <w:sz w:val="32"/>
          <w:szCs w:val="32"/>
          <w:lang w:val="zh-CN"/>
        </w:rPr>
        <w:t>第五条</w:t>
      </w:r>
      <w:r>
        <w:rPr>
          <w:rFonts w:hint="eastAsia" w:ascii="仿宋_GB2312" w:eastAsia="仿宋_GB2312"/>
          <w:sz w:val="32"/>
          <w:szCs w:val="32"/>
          <w:lang w:val="zh-CN"/>
        </w:rPr>
        <w:t>（</w:t>
      </w:r>
      <w:r>
        <w:rPr>
          <w:rFonts w:hint="eastAsia" w:ascii="仿宋_GB2312" w:hAnsi="仿宋_GB2312" w:eastAsia="仿宋_GB2312" w:cs="仿宋_GB2312"/>
          <w:sz w:val="32"/>
          <w:szCs w:val="32"/>
        </w:rPr>
        <w:t>行业</w:t>
      </w:r>
      <w:r>
        <w:rPr>
          <w:rFonts w:hint="eastAsia" w:ascii="仿宋_GB2312" w:eastAsia="仿宋_GB2312"/>
          <w:sz w:val="32"/>
          <w:szCs w:val="32"/>
          <w:lang w:val="zh-CN"/>
        </w:rPr>
        <w:t>组织作用发挥）</w:t>
      </w:r>
    </w:p>
    <w:p>
      <w:pPr>
        <w:pStyle w:val="7"/>
        <w:keepNext w:val="0"/>
        <w:keepLines w:val="0"/>
        <w:pageBreakBefore w:val="0"/>
        <w:widowControl w:val="0"/>
        <w:kinsoku/>
        <w:wordWrap/>
        <w:overflowPunct/>
        <w:topLinePunct w:val="0"/>
        <w:autoSpaceDE/>
        <w:autoSpaceDN/>
        <w:bidi w:val="0"/>
        <w:spacing w:line="560" w:lineRule="exact"/>
        <w:ind w:left="0" w:firstLine="64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行业组织应当加强行业指导和自律管理，反映行业和会员的涉税涉费诉求，为纳税人、缴费人提供涉税涉费政策咨询、合法权益保护等服务。</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黑体" w:hAnsi="黑体" w:eastAsia="黑体"/>
          <w:sz w:val="32"/>
          <w:szCs w:val="32"/>
          <w:lang w:val="zh-CN"/>
        </w:rPr>
        <w:t>第</w:t>
      </w:r>
      <w:r>
        <w:rPr>
          <w:rFonts w:hint="eastAsia" w:ascii="黑体" w:hAnsi="黑体" w:eastAsia="黑体"/>
          <w:sz w:val="32"/>
          <w:szCs w:val="32"/>
        </w:rPr>
        <w:t>六</w:t>
      </w:r>
      <w:r>
        <w:rPr>
          <w:rFonts w:hint="eastAsia" w:ascii="黑体" w:hAnsi="黑体" w:eastAsia="黑体"/>
          <w:sz w:val="32"/>
          <w:szCs w:val="32"/>
          <w:lang w:val="zh-CN"/>
        </w:rPr>
        <w:t>条</w:t>
      </w:r>
      <w:r>
        <w:rPr>
          <w:rFonts w:hint="eastAsia" w:ascii="仿宋_GB2312" w:eastAsia="仿宋_GB2312"/>
          <w:sz w:val="32"/>
          <w:szCs w:val="32"/>
          <w:lang w:val="zh-CN"/>
        </w:rPr>
        <w:t>（社会</w:t>
      </w:r>
      <w:r>
        <w:rPr>
          <w:rFonts w:hint="eastAsia" w:ascii="仿宋_GB2312" w:eastAsia="仿宋_GB2312"/>
          <w:sz w:val="32"/>
          <w:szCs w:val="32"/>
        </w:rPr>
        <w:t>宣传</w:t>
      </w:r>
      <w:r>
        <w:rPr>
          <w:rFonts w:hint="eastAsia" w:ascii="仿宋_GB2312" w:eastAsia="仿宋_GB2312"/>
          <w:sz w:val="32"/>
          <w:szCs w:val="32"/>
          <w:lang w:val="zh-CN"/>
        </w:rPr>
        <w:t>）</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rPr>
      </w:pPr>
      <w:r>
        <w:rPr>
          <w:rFonts w:hint="eastAsia" w:ascii="仿宋_GB2312" w:eastAsia="仿宋_GB2312"/>
          <w:sz w:val="32"/>
          <w:szCs w:val="32"/>
        </w:rPr>
        <w:t>各级人民政府、</w:t>
      </w:r>
      <w:r>
        <w:rPr>
          <w:rFonts w:hint="eastAsia" w:ascii="仿宋_GB2312" w:eastAsia="仿宋_GB2312"/>
          <w:sz w:val="32"/>
          <w:szCs w:val="32"/>
          <w:lang w:val="zh-CN"/>
        </w:rPr>
        <w:t>税务机关和人力资源社会</w:t>
      </w:r>
      <w:r>
        <w:rPr>
          <w:rFonts w:hint="eastAsia" w:ascii="仿宋_GB2312" w:eastAsia="仿宋_GB2312"/>
          <w:sz w:val="32"/>
          <w:szCs w:val="32"/>
        </w:rPr>
        <w:t>保障</w:t>
      </w:r>
      <w:r>
        <w:rPr>
          <w:rFonts w:hint="eastAsia" w:ascii="仿宋_GB2312" w:eastAsia="仿宋_GB2312"/>
          <w:sz w:val="32"/>
          <w:szCs w:val="32"/>
          <w:lang w:val="zh-CN"/>
        </w:rPr>
        <w:t>、医保、财政、房屋管理等部门</w:t>
      </w:r>
      <w:r>
        <w:rPr>
          <w:rFonts w:hint="eastAsia" w:ascii="仿宋_GB2312" w:eastAsia="仿宋_GB2312"/>
          <w:sz w:val="32"/>
          <w:szCs w:val="32"/>
        </w:rPr>
        <w:t>应当通过多种形式，广泛宣传税费法规政策，普及纳税缴费</w:t>
      </w:r>
      <w:r>
        <w:rPr>
          <w:rFonts w:hint="eastAsia" w:ascii="仿宋_GB2312" w:eastAsia="仿宋_GB2312"/>
          <w:sz w:val="32"/>
          <w:szCs w:val="32"/>
          <w:lang w:val="zh-CN"/>
        </w:rPr>
        <w:t>知识。</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仿宋_GB2312" w:eastAsia="仿宋_GB2312"/>
          <w:sz w:val="32"/>
          <w:szCs w:val="32"/>
        </w:rPr>
        <w:t>广播、电视、报刊、网络等媒体应当开展税费法规政策宣传，</w:t>
      </w:r>
      <w:r>
        <w:rPr>
          <w:rFonts w:hint="eastAsia" w:ascii="仿宋_GB2312" w:eastAsia="仿宋_GB2312"/>
          <w:sz w:val="32"/>
          <w:szCs w:val="32"/>
          <w:lang w:val="zh-CN"/>
        </w:rPr>
        <w:t>提高全社会纳税缴费的意识</w:t>
      </w:r>
      <w:r>
        <w:rPr>
          <w:rFonts w:hint="eastAsia" w:ascii="仿宋_GB2312" w:eastAsia="仿宋_GB2312"/>
          <w:sz w:val="32"/>
          <w:szCs w:val="32"/>
        </w:rPr>
        <w:t>。</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黑体" w:hAnsi="黑体" w:eastAsia="黑体"/>
          <w:sz w:val="32"/>
          <w:szCs w:val="32"/>
          <w:lang w:val="zh-CN"/>
        </w:rPr>
      </w:pPr>
      <w:r>
        <w:rPr>
          <w:rFonts w:hint="eastAsia" w:ascii="黑体" w:hAnsi="黑体" w:eastAsia="黑体"/>
          <w:sz w:val="32"/>
          <w:szCs w:val="32"/>
          <w:lang w:val="zh-CN"/>
        </w:rPr>
        <w:t>第七条</w:t>
      </w:r>
      <w:r>
        <w:rPr>
          <w:rFonts w:hint="eastAsia" w:ascii="仿宋_GB2312" w:eastAsia="仿宋_GB2312"/>
          <w:sz w:val="32"/>
          <w:szCs w:val="32"/>
          <w:lang w:val="zh-CN"/>
        </w:rPr>
        <w:t>（</w:t>
      </w:r>
      <w:r>
        <w:rPr>
          <w:rFonts w:hint="eastAsia" w:ascii="仿宋_GB2312" w:eastAsia="仿宋_GB2312"/>
          <w:sz w:val="32"/>
          <w:szCs w:val="32"/>
        </w:rPr>
        <w:t>经费保障</w:t>
      </w:r>
      <w:r>
        <w:rPr>
          <w:rFonts w:hint="eastAsia" w:ascii="仿宋_GB2312" w:eastAsia="仿宋_GB2312"/>
          <w:sz w:val="32"/>
          <w:szCs w:val="32"/>
          <w:lang w:val="zh-CN"/>
        </w:rPr>
        <w:t>）</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rPr>
      </w:pPr>
      <w:r>
        <w:rPr>
          <w:rFonts w:hint="eastAsia" w:ascii="仿宋_GB2312" w:eastAsia="仿宋_GB2312"/>
          <w:sz w:val="32"/>
          <w:szCs w:val="32"/>
        </w:rPr>
        <w:t>税费</w:t>
      </w:r>
      <w:r>
        <w:rPr>
          <w:rFonts w:hint="eastAsia" w:ascii="仿宋_GB2312" w:eastAsia="仿宋_GB2312"/>
          <w:sz w:val="32"/>
          <w:szCs w:val="32"/>
          <w:lang w:val="zh-CN"/>
        </w:rPr>
        <w:t>征收</w:t>
      </w:r>
      <w:r>
        <w:rPr>
          <w:rFonts w:hint="eastAsia" w:ascii="仿宋_GB2312" w:eastAsia="仿宋_GB2312"/>
          <w:sz w:val="32"/>
          <w:szCs w:val="32"/>
        </w:rPr>
        <w:t>服务和保障工作所需经费，按照财政管理体制予以保障。</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黑体" w:hAnsi="黑体" w:eastAsia="黑体"/>
          <w:sz w:val="32"/>
          <w:szCs w:val="32"/>
          <w:lang w:val="zh-CN"/>
        </w:rPr>
        <w:t>第八条</w:t>
      </w:r>
      <w:r>
        <w:rPr>
          <w:rFonts w:hint="eastAsia" w:ascii="仿宋_GB2312" w:eastAsia="仿宋_GB2312"/>
          <w:sz w:val="32"/>
          <w:szCs w:val="32"/>
          <w:lang w:val="zh-CN"/>
        </w:rPr>
        <w:t>（区域协作）</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rPr>
      </w:pPr>
      <w:r>
        <w:rPr>
          <w:rFonts w:hint="eastAsia" w:ascii="仿宋_GB2312" w:eastAsia="仿宋_GB2312"/>
          <w:sz w:val="32"/>
          <w:szCs w:val="32"/>
          <w:lang w:val="zh-CN"/>
        </w:rPr>
        <w:t>税务机关应当与</w:t>
      </w:r>
      <w:r>
        <w:rPr>
          <w:rFonts w:hint="eastAsia" w:ascii="仿宋_GB2312" w:eastAsia="仿宋_GB2312"/>
          <w:sz w:val="32"/>
          <w:szCs w:val="32"/>
          <w:shd w:val="clear" w:color="auto" w:fill="FEFEFE"/>
          <w:lang w:val="zh-CN"/>
        </w:rPr>
        <w:t>长江三角洲区域相关省、市税务机关</w:t>
      </w:r>
      <w:r>
        <w:rPr>
          <w:rFonts w:hint="eastAsia" w:ascii="仿宋_GB2312" w:eastAsia="仿宋_GB2312"/>
          <w:sz w:val="32"/>
          <w:szCs w:val="32"/>
          <w:lang w:val="zh-CN"/>
        </w:rPr>
        <w:t>建立税费工作协调机制，推进信用互认、资质互通、税费事项跨区域通办，</w:t>
      </w:r>
      <w:r>
        <w:rPr>
          <w:rFonts w:hint="eastAsia" w:ascii="仿宋_GB2312" w:eastAsia="仿宋_GB2312"/>
          <w:sz w:val="32"/>
          <w:szCs w:val="32"/>
        </w:rPr>
        <w:t>推进区域执法标准统一和税费服务一体化</w:t>
      </w:r>
      <w:r>
        <w:rPr>
          <w:rFonts w:hint="eastAsia" w:ascii="仿宋_GB2312" w:eastAsia="仿宋_GB2312"/>
          <w:sz w:val="32"/>
          <w:szCs w:val="32"/>
          <w:lang w:val="zh-CN"/>
        </w:rPr>
        <w:t>；</w:t>
      </w:r>
      <w:r>
        <w:rPr>
          <w:rFonts w:hint="eastAsia" w:ascii="仿宋_GB2312" w:eastAsia="仿宋_GB2312"/>
          <w:sz w:val="32"/>
          <w:szCs w:val="32"/>
        </w:rPr>
        <w:t>探索与其他省、市</w:t>
      </w:r>
      <w:r>
        <w:rPr>
          <w:rFonts w:hint="eastAsia" w:ascii="仿宋_GB2312" w:eastAsia="仿宋_GB2312"/>
          <w:sz w:val="32"/>
          <w:szCs w:val="32"/>
          <w:shd w:val="clear" w:color="auto" w:fill="FEFEFE"/>
          <w:lang w:val="zh-CN"/>
        </w:rPr>
        <w:t>税务机关</w:t>
      </w:r>
      <w:r>
        <w:rPr>
          <w:rFonts w:hint="eastAsia" w:ascii="仿宋_GB2312" w:eastAsia="仿宋_GB2312"/>
          <w:sz w:val="32"/>
          <w:szCs w:val="32"/>
        </w:rPr>
        <w:t>建立跨区域税费工作协调机制，推进纳税信用联动管理、税费事项跨区域通办。</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hAnsi="仿宋_GB2312" w:eastAsia="仿宋_GB2312" w:cs="仿宋_GB2312"/>
          <w:sz w:val="32"/>
          <w:szCs w:val="32"/>
          <w:lang w:val="en"/>
        </w:rPr>
      </w:pPr>
    </w:p>
    <w:p>
      <w:pPr>
        <w:pStyle w:val="7"/>
        <w:keepNext w:val="0"/>
        <w:keepLines w:val="0"/>
        <w:pageBreakBefore w:val="0"/>
        <w:widowControl w:val="0"/>
        <w:kinsoku/>
        <w:wordWrap/>
        <w:overflowPunct/>
        <w:topLinePunct w:val="0"/>
        <w:autoSpaceDE/>
        <w:autoSpaceDN/>
        <w:bidi w:val="0"/>
        <w:snapToGrid w:val="0"/>
        <w:spacing w:line="560" w:lineRule="exact"/>
        <w:ind w:left="0"/>
        <w:jc w:val="center"/>
        <w:outlineLvl w:val="9"/>
        <w:rPr>
          <w:rFonts w:ascii="黑体" w:hAnsi="黑体" w:eastAsia="黑体"/>
          <w:sz w:val="32"/>
          <w:szCs w:val="32"/>
          <w:lang w:val="zh-CN"/>
        </w:rPr>
      </w:pPr>
      <w:r>
        <w:rPr>
          <w:rFonts w:hint="eastAsia" w:ascii="黑体" w:hAnsi="黑体" w:eastAsia="黑体"/>
          <w:sz w:val="32"/>
          <w:szCs w:val="32"/>
          <w:lang w:val="zh-CN"/>
        </w:rPr>
        <w:t>第二章  税费征收服务</w:t>
      </w:r>
    </w:p>
    <w:p>
      <w:pPr>
        <w:pStyle w:val="7"/>
        <w:keepNext w:val="0"/>
        <w:keepLines w:val="0"/>
        <w:pageBreakBefore w:val="0"/>
        <w:widowControl w:val="0"/>
        <w:kinsoku/>
        <w:wordWrap/>
        <w:overflowPunct/>
        <w:topLinePunct w:val="0"/>
        <w:autoSpaceDE/>
        <w:autoSpaceDN/>
        <w:bidi w:val="0"/>
        <w:snapToGrid w:val="0"/>
        <w:spacing w:line="560" w:lineRule="exact"/>
        <w:ind w:left="0"/>
        <w:jc w:val="both"/>
        <w:outlineLvl w:val="9"/>
        <w:rPr>
          <w:rFonts w:ascii="黑体" w:hAnsi="黑体" w:eastAsia="黑体"/>
          <w:sz w:val="32"/>
          <w:szCs w:val="32"/>
          <w:lang w:val="zh-CN"/>
        </w:rPr>
      </w:pP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黑体" w:hAnsi="黑体" w:eastAsia="黑体"/>
          <w:sz w:val="32"/>
          <w:szCs w:val="32"/>
          <w:lang w:val="zh-CN"/>
        </w:rPr>
      </w:pPr>
      <w:r>
        <w:rPr>
          <w:rFonts w:hint="eastAsia" w:ascii="黑体" w:hAnsi="黑体" w:eastAsia="黑体"/>
          <w:sz w:val="32"/>
          <w:szCs w:val="32"/>
          <w:lang w:val="zh-CN"/>
        </w:rPr>
        <w:t>第九条</w:t>
      </w:r>
      <w:r>
        <w:rPr>
          <w:rFonts w:hint="eastAsia" w:ascii="仿宋_GB2312" w:eastAsia="仿宋_GB2312"/>
          <w:sz w:val="32"/>
          <w:szCs w:val="32"/>
          <w:lang w:val="zh-CN"/>
        </w:rPr>
        <w:t>（便利办税方式）</w:t>
      </w:r>
    </w:p>
    <w:p>
      <w:pPr>
        <w:pStyle w:val="7"/>
        <w:keepNext w:val="0"/>
        <w:keepLines w:val="0"/>
        <w:pageBreakBefore w:val="0"/>
        <w:widowControl w:val="0"/>
        <w:kinsoku/>
        <w:wordWrap/>
        <w:overflowPunct/>
        <w:topLinePunct w:val="0"/>
        <w:autoSpaceDE/>
        <w:autoSpaceDN/>
        <w:bidi w:val="0"/>
        <w:snapToGrid w:val="0"/>
        <w:spacing w:line="560" w:lineRule="exact"/>
        <w:ind w:left="0" w:firstLine="640" w:firstLineChars="200"/>
        <w:jc w:val="both"/>
        <w:outlineLvl w:val="9"/>
        <w:rPr>
          <w:rFonts w:ascii="仿宋_GB2312" w:eastAsia="仿宋_GB2312"/>
          <w:sz w:val="32"/>
          <w:szCs w:val="32"/>
          <w:shd w:val="clear" w:color="auto" w:fill="FEFEFE"/>
          <w:lang w:val="zh-CN"/>
        </w:rPr>
      </w:pPr>
      <w:r>
        <w:rPr>
          <w:rFonts w:hint="eastAsia" w:ascii="仿宋_GB2312" w:eastAsia="仿宋_GB2312"/>
          <w:sz w:val="32"/>
          <w:szCs w:val="32"/>
          <w:shd w:val="clear" w:color="auto" w:fill="FEFEFE"/>
          <w:lang w:val="zh-CN"/>
        </w:rPr>
        <w:t>税务机关采取办税服务场所现场办理或者电子税务局、自助办税终端等非接触式办理方式，为纳税人、缴费人提供税费办理服务。</w:t>
      </w:r>
    </w:p>
    <w:p>
      <w:pPr>
        <w:pStyle w:val="8"/>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outlineLvl w:val="9"/>
        <w:rPr>
          <w:rFonts w:ascii="仿宋_GB2312" w:hAnsi="Arial Unicode MS" w:eastAsia="仿宋_GB2312" w:cs="Arial Unicode MS"/>
          <w:color w:val="000000"/>
          <w:sz w:val="32"/>
          <w:szCs w:val="32"/>
          <w:shd w:val="clear" w:color="auto" w:fill="FEFEFE"/>
          <w:lang w:val="zh-CN"/>
        </w:rPr>
      </w:pPr>
      <w:r>
        <w:rPr>
          <w:rFonts w:hint="eastAsia" w:ascii="仿宋_GB2312" w:hAnsi="Arial Unicode MS" w:eastAsia="仿宋_GB2312" w:cs="Arial Unicode MS"/>
          <w:color w:val="000000"/>
          <w:sz w:val="32"/>
          <w:szCs w:val="32"/>
          <w:shd w:val="clear" w:color="auto" w:fill="FEFEFE"/>
          <w:lang w:val="zh-CN"/>
        </w:rPr>
        <w:t>区人民政府、市民政部门、</w:t>
      </w:r>
      <w:r>
        <w:rPr>
          <w:rFonts w:hint="eastAsia" w:ascii="仿宋_GB2312" w:eastAsia="仿宋_GB2312"/>
          <w:sz w:val="32"/>
          <w:szCs w:val="32"/>
          <w:shd w:val="clear" w:color="auto" w:fill="FEFEFE"/>
          <w:lang w:val="zh-CN"/>
        </w:rPr>
        <w:t>税务机关</w:t>
      </w:r>
      <w:r>
        <w:rPr>
          <w:rFonts w:hint="eastAsia" w:ascii="仿宋_GB2312" w:hAnsi="Arial Unicode MS" w:eastAsia="仿宋_GB2312" w:cs="Arial Unicode MS"/>
          <w:color w:val="000000"/>
          <w:sz w:val="32"/>
          <w:szCs w:val="32"/>
          <w:shd w:val="clear" w:color="auto" w:fill="FEFEFE"/>
          <w:lang w:val="zh-CN"/>
        </w:rPr>
        <w:t>应当根据实际将税费征收服务事项纳入政务服务中心、社区事务受理服务中心等机构的服务范围，</w:t>
      </w:r>
      <w:r>
        <w:rPr>
          <w:rFonts w:ascii="仿宋_GB2312" w:hAnsi="Arial Unicode MS" w:eastAsia="仿宋_GB2312" w:cs="Arial Unicode MS"/>
          <w:color w:val="000000"/>
          <w:sz w:val="32"/>
          <w:szCs w:val="32"/>
          <w:shd w:val="clear" w:color="auto" w:fill="FEFEFE"/>
          <w:lang w:val="zh-CN"/>
        </w:rPr>
        <w:t>实现多部门业务集</w:t>
      </w:r>
      <w:r>
        <w:rPr>
          <w:rFonts w:hint="eastAsia" w:ascii="仿宋_GB2312" w:hAnsi="Arial Unicode MS" w:eastAsia="仿宋_GB2312" w:cs="Arial Unicode MS"/>
          <w:color w:val="000000"/>
          <w:sz w:val="32"/>
          <w:szCs w:val="32"/>
          <w:shd w:val="clear" w:color="auto" w:fill="FEFEFE"/>
          <w:lang w:val="zh-CN"/>
        </w:rPr>
        <w:t>中、集成</w:t>
      </w:r>
      <w:r>
        <w:rPr>
          <w:rFonts w:ascii="仿宋_GB2312" w:hAnsi="Arial Unicode MS" w:eastAsia="仿宋_GB2312" w:cs="Arial Unicode MS"/>
          <w:color w:val="000000"/>
          <w:sz w:val="32"/>
          <w:szCs w:val="32"/>
          <w:shd w:val="clear" w:color="auto" w:fill="FEFEFE"/>
          <w:lang w:val="zh-CN"/>
        </w:rPr>
        <w:t>办理</w:t>
      </w:r>
      <w:r>
        <w:rPr>
          <w:rFonts w:hint="eastAsia" w:ascii="仿宋_GB2312" w:hAnsi="Arial Unicode MS" w:eastAsia="仿宋_GB2312" w:cs="Arial Unicode MS"/>
          <w:color w:val="000000"/>
          <w:sz w:val="32"/>
          <w:szCs w:val="32"/>
          <w:shd w:val="clear" w:color="auto" w:fill="FEFEFE"/>
          <w:lang w:val="zh-CN"/>
        </w:rPr>
        <w:t>。</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黑体" w:hAnsi="黑体" w:eastAsia="黑体"/>
          <w:sz w:val="32"/>
          <w:szCs w:val="32"/>
          <w:lang w:val="zh-CN"/>
        </w:rPr>
        <w:t>第</w:t>
      </w:r>
      <w:r>
        <w:rPr>
          <w:rFonts w:hint="eastAsia" w:ascii="黑体" w:hAnsi="黑体" w:eastAsia="黑体"/>
          <w:sz w:val="32"/>
          <w:szCs w:val="32"/>
        </w:rPr>
        <w:t>十</w:t>
      </w:r>
      <w:r>
        <w:rPr>
          <w:rFonts w:hint="eastAsia" w:ascii="黑体" w:hAnsi="黑体" w:eastAsia="黑体"/>
          <w:sz w:val="32"/>
          <w:szCs w:val="32"/>
          <w:lang w:val="zh-CN"/>
        </w:rPr>
        <w:t>条</w:t>
      </w:r>
      <w:r>
        <w:rPr>
          <w:rFonts w:hint="eastAsia" w:ascii="仿宋_GB2312" w:eastAsia="仿宋_GB2312"/>
          <w:sz w:val="32"/>
          <w:szCs w:val="32"/>
          <w:lang w:val="zh-CN"/>
        </w:rPr>
        <w:t>（</w:t>
      </w:r>
      <w:r>
        <w:rPr>
          <w:rFonts w:hint="eastAsia" w:ascii="仿宋_GB2312" w:eastAsia="仿宋_GB2312"/>
          <w:sz w:val="32"/>
          <w:szCs w:val="32"/>
        </w:rPr>
        <w:t>业务流程优化</w:t>
      </w:r>
      <w:r>
        <w:rPr>
          <w:rFonts w:hint="eastAsia" w:ascii="仿宋_GB2312" w:eastAsia="仿宋_GB2312"/>
          <w:sz w:val="32"/>
          <w:szCs w:val="32"/>
          <w:lang w:val="zh-CN"/>
        </w:rPr>
        <w:t>）</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shd w:val="clear" w:color="auto" w:fill="FEFEFE"/>
          <w:lang w:val="zh-CN"/>
        </w:rPr>
      </w:pPr>
      <w:r>
        <w:rPr>
          <w:rFonts w:hint="eastAsia" w:ascii="仿宋_GB2312" w:eastAsia="仿宋_GB2312"/>
          <w:sz w:val="32"/>
          <w:szCs w:val="32"/>
          <w:shd w:val="clear" w:color="auto" w:fill="FEFEFE"/>
          <w:lang w:val="zh-CN"/>
        </w:rPr>
        <w:t>税务机关应当会同相关部门推进纳税缴费工作跨部门、跨层级、跨区域业务流程优化，</w:t>
      </w:r>
      <w:r>
        <w:rPr>
          <w:rFonts w:hint="eastAsia" w:ascii="仿宋_GB2312" w:eastAsia="仿宋_GB2312"/>
          <w:sz w:val="32"/>
          <w:szCs w:val="32"/>
          <w:shd w:val="clear" w:color="auto" w:fill="FEFEFE"/>
        </w:rPr>
        <w:t>通过</w:t>
      </w:r>
      <w:r>
        <w:rPr>
          <w:rFonts w:hint="eastAsia" w:ascii="仿宋_GB2312" w:eastAsia="仿宋_GB2312"/>
          <w:sz w:val="32"/>
          <w:szCs w:val="32"/>
          <w:shd w:val="clear" w:color="auto" w:fill="FEFEFE"/>
          <w:lang w:val="zh-CN"/>
        </w:rPr>
        <w:t>政务服务</w:t>
      </w:r>
      <w:r>
        <w:rPr>
          <w:rFonts w:hint="eastAsia" w:ascii="仿宋_GB2312" w:eastAsia="仿宋_GB2312"/>
          <w:sz w:val="32"/>
          <w:szCs w:val="32"/>
          <w:shd w:val="clear" w:color="auto" w:fill="FEFEFE"/>
        </w:rPr>
        <w:t>“一网通办”平台，</w:t>
      </w:r>
      <w:r>
        <w:rPr>
          <w:rFonts w:hint="eastAsia" w:ascii="仿宋_GB2312" w:eastAsia="仿宋_GB2312"/>
          <w:sz w:val="32"/>
          <w:szCs w:val="32"/>
          <w:shd w:val="clear" w:color="auto" w:fill="FEFEFE"/>
          <w:lang w:val="zh-CN"/>
        </w:rPr>
        <w:t>为纳税人、缴费人提供方便快捷的</w:t>
      </w:r>
      <w:r>
        <w:rPr>
          <w:rFonts w:hint="eastAsia" w:ascii="仿宋_GB2312" w:eastAsia="仿宋_GB2312"/>
          <w:sz w:val="32"/>
          <w:szCs w:val="32"/>
          <w:shd w:val="clear" w:color="auto" w:fill="FEFEFE"/>
        </w:rPr>
        <w:t>办理</w:t>
      </w:r>
      <w:r>
        <w:rPr>
          <w:rFonts w:hint="eastAsia" w:ascii="仿宋_GB2312" w:eastAsia="仿宋_GB2312"/>
          <w:sz w:val="32"/>
          <w:szCs w:val="32"/>
          <w:shd w:val="clear" w:color="auto" w:fill="FEFEFE"/>
          <w:lang w:val="zh-CN"/>
        </w:rPr>
        <w:t>服务。</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黑体" w:hAnsi="黑体" w:eastAsia="黑体"/>
          <w:sz w:val="32"/>
          <w:szCs w:val="32"/>
          <w:lang w:val="zh-CN"/>
        </w:rPr>
        <w:t>第十</w:t>
      </w:r>
      <w:r>
        <w:rPr>
          <w:rFonts w:hint="eastAsia" w:ascii="黑体" w:hAnsi="黑体" w:eastAsia="黑体"/>
          <w:sz w:val="32"/>
          <w:szCs w:val="32"/>
        </w:rPr>
        <w:t>一</w:t>
      </w:r>
      <w:r>
        <w:rPr>
          <w:rFonts w:hint="eastAsia" w:ascii="黑体" w:hAnsi="黑体" w:eastAsia="黑体"/>
          <w:sz w:val="32"/>
          <w:szCs w:val="32"/>
          <w:lang w:val="zh-CN"/>
        </w:rPr>
        <w:t>条</w:t>
      </w:r>
      <w:r>
        <w:rPr>
          <w:rFonts w:hint="eastAsia" w:ascii="仿宋_GB2312" w:eastAsia="仿宋_GB2312"/>
          <w:sz w:val="32"/>
          <w:szCs w:val="32"/>
          <w:lang w:val="zh-CN"/>
        </w:rPr>
        <w:t>（</w:t>
      </w:r>
      <w:r>
        <w:rPr>
          <w:rFonts w:hint="eastAsia" w:ascii="仿宋_GB2312" w:eastAsia="仿宋_GB2312"/>
          <w:sz w:val="32"/>
          <w:szCs w:val="32"/>
        </w:rPr>
        <w:t>提升税费征收服务便利</w:t>
      </w:r>
      <w:r>
        <w:rPr>
          <w:rFonts w:hint="eastAsia" w:ascii="仿宋_GB2312" w:eastAsia="仿宋_GB2312"/>
          <w:sz w:val="32"/>
          <w:szCs w:val="32"/>
          <w:lang w:val="zh-CN"/>
        </w:rPr>
        <w:t>）</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firstLine="641"/>
        <w:jc w:val="both"/>
        <w:outlineLvl w:val="9"/>
        <w:rPr>
          <w:rFonts w:ascii="仿宋_GB2312" w:eastAsia="仿宋_GB2312"/>
          <w:sz w:val="32"/>
          <w:szCs w:val="32"/>
          <w:lang w:val="zh-CN"/>
        </w:rPr>
      </w:pPr>
      <w:r>
        <w:rPr>
          <w:rFonts w:hint="eastAsia" w:ascii="仿宋_GB2312" w:eastAsia="仿宋_GB2312"/>
          <w:sz w:val="32"/>
          <w:szCs w:val="32"/>
        </w:rPr>
        <w:t>税务机关应当推进</w:t>
      </w:r>
      <w:r>
        <w:rPr>
          <w:rFonts w:hint="eastAsia" w:ascii="仿宋_GB2312" w:eastAsia="仿宋_GB2312"/>
          <w:sz w:val="32"/>
          <w:szCs w:val="32"/>
          <w:lang w:val="zh-CN"/>
        </w:rPr>
        <w:t>关联税费种的综合申报，</w:t>
      </w:r>
      <w:r>
        <w:rPr>
          <w:rFonts w:hint="eastAsia" w:ascii="仿宋_GB2312" w:eastAsia="仿宋_GB2312"/>
          <w:sz w:val="32"/>
          <w:szCs w:val="32"/>
        </w:rPr>
        <w:t>精简申报材料，</w:t>
      </w:r>
      <w:r>
        <w:rPr>
          <w:rFonts w:hint="eastAsia" w:ascii="仿宋_GB2312" w:eastAsia="仿宋_GB2312"/>
          <w:sz w:val="32"/>
          <w:szCs w:val="32"/>
          <w:lang w:val="zh-CN"/>
        </w:rPr>
        <w:t>减少</w:t>
      </w:r>
      <w:r>
        <w:rPr>
          <w:rFonts w:hint="eastAsia" w:ascii="仿宋_GB2312" w:eastAsia="仿宋_GB2312"/>
          <w:sz w:val="32"/>
          <w:szCs w:val="32"/>
        </w:rPr>
        <w:t>纳税人、缴费人</w:t>
      </w:r>
      <w:r>
        <w:rPr>
          <w:rFonts w:hint="eastAsia" w:ascii="仿宋_GB2312" w:eastAsia="仿宋_GB2312"/>
          <w:sz w:val="32"/>
          <w:szCs w:val="32"/>
          <w:lang w:val="zh-CN"/>
        </w:rPr>
        <w:t>纳税缴费</w:t>
      </w:r>
      <w:r>
        <w:rPr>
          <w:rFonts w:hint="eastAsia" w:ascii="仿宋_GB2312" w:eastAsia="仿宋_GB2312"/>
          <w:sz w:val="32"/>
          <w:szCs w:val="32"/>
        </w:rPr>
        <w:t>办理</w:t>
      </w:r>
      <w:r>
        <w:rPr>
          <w:rFonts w:hint="eastAsia" w:ascii="仿宋_GB2312" w:eastAsia="仿宋_GB2312"/>
          <w:sz w:val="32"/>
          <w:szCs w:val="32"/>
          <w:lang w:val="zh-CN"/>
        </w:rPr>
        <w:t>次数</w:t>
      </w:r>
      <w:r>
        <w:rPr>
          <w:rFonts w:hint="eastAsia" w:ascii="仿宋_GB2312" w:eastAsia="仿宋_GB2312"/>
          <w:sz w:val="32"/>
          <w:szCs w:val="32"/>
        </w:rPr>
        <w:t>和</w:t>
      </w:r>
      <w:r>
        <w:rPr>
          <w:rFonts w:hint="eastAsia" w:ascii="仿宋_GB2312" w:eastAsia="仿宋_GB2312"/>
          <w:sz w:val="32"/>
          <w:szCs w:val="32"/>
          <w:lang w:val="zh-CN"/>
        </w:rPr>
        <w:t>时间。</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firstLine="641"/>
        <w:jc w:val="both"/>
        <w:outlineLvl w:val="9"/>
        <w:rPr>
          <w:rFonts w:ascii="仿宋_GB2312" w:eastAsia="仿宋_GB2312"/>
          <w:sz w:val="32"/>
          <w:szCs w:val="32"/>
          <w:lang w:val="zh-CN"/>
        </w:rPr>
      </w:pPr>
      <w:r>
        <w:rPr>
          <w:rFonts w:hint="eastAsia" w:ascii="仿宋_GB2312" w:eastAsia="仿宋_GB2312"/>
          <w:sz w:val="32"/>
          <w:szCs w:val="32"/>
        </w:rPr>
        <w:t>税务机关可以通过预约办理、在线互动服务、操作智能引导、表单智能填报、系统自动处理等措施为纳税人、缴费人提供纳税缴费便利。</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firstLine="641"/>
        <w:jc w:val="both"/>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对于按照规定可以由纳税人、缴费人自行判别适用的税费优惠政策，纳税人、缴费人在纳税缴费申报时即可享受。纳税人、缴费人应当将有关资料留存备查。</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rPr>
      </w:pPr>
      <w:r>
        <w:rPr>
          <w:rFonts w:hint="eastAsia" w:ascii="仿宋_GB2312" w:eastAsia="仿宋_GB2312"/>
          <w:sz w:val="32"/>
          <w:szCs w:val="32"/>
        </w:rPr>
        <w:t>税务机关应当为有需求的老年人、残疾人等提供预约上门、优先办理、</w:t>
      </w:r>
      <w:r>
        <w:rPr>
          <w:rFonts w:ascii="仿宋_GB2312" w:eastAsia="仿宋_GB2312"/>
          <w:sz w:val="32"/>
          <w:szCs w:val="32"/>
        </w:rPr>
        <w:t>全程协助办理</w:t>
      </w:r>
      <w:r>
        <w:rPr>
          <w:rFonts w:hint="eastAsia" w:ascii="仿宋_GB2312" w:eastAsia="仿宋_GB2312"/>
          <w:sz w:val="32"/>
          <w:szCs w:val="32"/>
        </w:rPr>
        <w:t>等服务。</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rPr>
      </w:pPr>
      <w:r>
        <w:rPr>
          <w:rFonts w:hint="eastAsia" w:ascii="黑体" w:hAnsi="黑体" w:eastAsia="黑体"/>
          <w:sz w:val="32"/>
          <w:szCs w:val="32"/>
          <w:lang w:val="zh-CN"/>
        </w:rPr>
        <w:t>第十</w:t>
      </w:r>
      <w:r>
        <w:rPr>
          <w:rFonts w:hint="eastAsia" w:ascii="黑体" w:hAnsi="黑体" w:eastAsia="黑体"/>
          <w:sz w:val="32"/>
          <w:szCs w:val="32"/>
        </w:rPr>
        <w:t>二</w:t>
      </w:r>
      <w:r>
        <w:rPr>
          <w:rFonts w:hint="eastAsia" w:ascii="黑体" w:hAnsi="黑体" w:eastAsia="黑体"/>
          <w:sz w:val="32"/>
          <w:szCs w:val="32"/>
          <w:lang w:val="zh-CN"/>
        </w:rPr>
        <w:t>条</w:t>
      </w:r>
      <w:r>
        <w:rPr>
          <w:rFonts w:hint="eastAsia" w:ascii="仿宋_GB2312" w:eastAsia="仿宋_GB2312"/>
          <w:sz w:val="32"/>
          <w:szCs w:val="32"/>
          <w:lang w:val="zh-CN"/>
        </w:rPr>
        <w:t>（</w:t>
      </w:r>
      <w:r>
        <w:rPr>
          <w:rFonts w:hint="eastAsia" w:ascii="仿宋_GB2312" w:eastAsia="仿宋_GB2312"/>
          <w:sz w:val="32"/>
          <w:szCs w:val="32"/>
        </w:rPr>
        <w:t>证明事项告知承诺</w:t>
      </w:r>
      <w:r>
        <w:rPr>
          <w:rFonts w:hint="eastAsia" w:ascii="仿宋_GB2312" w:eastAsia="仿宋_GB2312"/>
          <w:sz w:val="32"/>
          <w:szCs w:val="32"/>
          <w:lang w:val="zh-CN"/>
        </w:rPr>
        <w:t>）</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firstLine="641"/>
        <w:jc w:val="both"/>
        <w:outlineLvl w:val="9"/>
        <w:rPr>
          <w:rFonts w:ascii="仿宋_GB2312" w:eastAsia="仿宋_GB2312"/>
          <w:sz w:val="32"/>
          <w:szCs w:val="32"/>
        </w:rPr>
      </w:pPr>
      <w:r>
        <w:rPr>
          <w:rFonts w:hint="eastAsia" w:ascii="仿宋_GB2312" w:eastAsia="仿宋_GB2312"/>
          <w:sz w:val="32"/>
          <w:szCs w:val="32"/>
        </w:rPr>
        <w:t>本市税务机关应当在风险可控的基础上，实行税费证明事项告知承诺制，法律、法规和国家另有规定的除外。实行告知承诺制的税费证明事项目录应当向社会公布。</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firstLine="641"/>
        <w:jc w:val="both"/>
        <w:outlineLvl w:val="9"/>
        <w:rPr>
          <w:rFonts w:ascii="仿宋_GB2312" w:eastAsia="仿宋_GB2312"/>
          <w:sz w:val="32"/>
          <w:szCs w:val="32"/>
        </w:rPr>
      </w:pPr>
      <w:r>
        <w:rPr>
          <w:rFonts w:hint="eastAsia" w:ascii="仿宋_GB2312" w:eastAsia="仿宋_GB2312"/>
          <w:sz w:val="32"/>
          <w:szCs w:val="32"/>
        </w:rPr>
        <w:t>对于前款规定的目录内的证明事项，纳税人</w:t>
      </w:r>
      <w:r>
        <w:rPr>
          <w:rFonts w:hint="eastAsia" w:ascii="仿宋_GB2312" w:eastAsia="仿宋_GB2312"/>
          <w:sz w:val="32"/>
          <w:szCs w:val="32"/>
          <w:lang w:val="zh-CN"/>
        </w:rPr>
        <w:t>、缴费人</w:t>
      </w:r>
      <w:r>
        <w:rPr>
          <w:rFonts w:hint="eastAsia" w:ascii="仿宋_GB2312" w:eastAsia="仿宋_GB2312"/>
          <w:sz w:val="32"/>
          <w:szCs w:val="32"/>
        </w:rPr>
        <w:t>选择采用告知承诺方式办理的，</w:t>
      </w:r>
      <w:r>
        <w:rPr>
          <w:rFonts w:hint="eastAsia" w:ascii="仿宋_GB2312" w:eastAsia="仿宋_GB2312"/>
          <w:sz w:val="32"/>
          <w:szCs w:val="32"/>
          <w:lang w:val="zh-CN"/>
        </w:rPr>
        <w:t>税务机关</w:t>
      </w:r>
      <w:r>
        <w:rPr>
          <w:rFonts w:hint="eastAsia" w:ascii="仿宋_GB2312" w:eastAsia="仿宋_GB2312"/>
          <w:sz w:val="32"/>
          <w:szCs w:val="32"/>
        </w:rPr>
        <w:t>应当将证明义务、证明内容和不实承诺的法律责任一次性告知纳税人、缴费人；纳税人、缴费人书面承诺已经符合告知的相关要求且愿意承担不实承诺的法律责任的，无需再提供相关证明材料，</w:t>
      </w:r>
      <w:r>
        <w:rPr>
          <w:rFonts w:hint="eastAsia" w:ascii="仿宋_GB2312" w:eastAsia="仿宋_GB2312"/>
          <w:sz w:val="32"/>
          <w:szCs w:val="32"/>
          <w:lang w:val="zh-CN"/>
        </w:rPr>
        <w:t>税务机关</w:t>
      </w:r>
      <w:r>
        <w:rPr>
          <w:rFonts w:hint="eastAsia" w:ascii="仿宋_GB2312" w:eastAsia="仿宋_GB2312"/>
          <w:sz w:val="32"/>
          <w:szCs w:val="32"/>
        </w:rPr>
        <w:t>依据书面承诺办理相关税费事项。</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黑体" w:hAnsi="黑体" w:eastAsia="黑体"/>
          <w:sz w:val="32"/>
          <w:szCs w:val="32"/>
          <w:lang w:val="zh-CN"/>
        </w:rPr>
        <w:t>第十</w:t>
      </w:r>
      <w:r>
        <w:rPr>
          <w:rFonts w:hint="eastAsia" w:ascii="黑体" w:hAnsi="黑体" w:eastAsia="黑体"/>
          <w:sz w:val="32"/>
          <w:szCs w:val="32"/>
        </w:rPr>
        <w:t>三</w:t>
      </w:r>
      <w:r>
        <w:rPr>
          <w:rFonts w:hint="eastAsia" w:ascii="黑体" w:hAnsi="黑体" w:eastAsia="黑体"/>
          <w:sz w:val="32"/>
          <w:szCs w:val="32"/>
          <w:lang w:val="zh-CN"/>
        </w:rPr>
        <w:t>条</w:t>
      </w:r>
      <w:r>
        <w:rPr>
          <w:rFonts w:hint="eastAsia" w:ascii="仿宋_GB2312" w:eastAsia="仿宋_GB2312"/>
          <w:sz w:val="32"/>
          <w:szCs w:val="32"/>
          <w:lang w:val="zh-CN"/>
        </w:rPr>
        <w:t>（</w:t>
      </w:r>
      <w:r>
        <w:rPr>
          <w:rFonts w:hint="eastAsia" w:ascii="仿宋_GB2312" w:eastAsia="仿宋_GB2312"/>
          <w:sz w:val="32"/>
          <w:szCs w:val="32"/>
        </w:rPr>
        <w:t>政策咨询和辅导</w:t>
      </w:r>
      <w:r>
        <w:rPr>
          <w:rFonts w:hint="eastAsia" w:ascii="仿宋_GB2312" w:eastAsia="仿宋_GB2312"/>
          <w:sz w:val="32"/>
          <w:szCs w:val="32"/>
          <w:lang w:val="zh-CN"/>
        </w:rPr>
        <w:t>）</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hAnsi="仿宋_GB2312" w:eastAsia="仿宋_GB2312" w:cs="仿宋_GB2312"/>
          <w:sz w:val="32"/>
          <w:szCs w:val="32"/>
        </w:rPr>
      </w:pPr>
      <w:r>
        <w:rPr>
          <w:rFonts w:hint="eastAsia" w:ascii="仿宋_GB2312" w:eastAsia="仿宋_GB2312"/>
          <w:sz w:val="32"/>
          <w:szCs w:val="32"/>
          <w:lang w:val="zh-CN"/>
        </w:rPr>
        <w:t>税务机关</w:t>
      </w:r>
      <w:r>
        <w:rPr>
          <w:rFonts w:hint="eastAsia" w:ascii="仿宋_GB2312" w:eastAsia="仿宋_GB2312"/>
          <w:sz w:val="32"/>
          <w:szCs w:val="32"/>
        </w:rPr>
        <w:t>和财政、</w:t>
      </w:r>
      <w:r>
        <w:rPr>
          <w:rFonts w:hint="eastAsia" w:ascii="仿宋_GB2312" w:eastAsia="仿宋_GB2312"/>
          <w:sz w:val="32"/>
          <w:szCs w:val="32"/>
          <w:lang w:val="zh-CN"/>
        </w:rPr>
        <w:t>科技、人力资源社会</w:t>
      </w:r>
      <w:r>
        <w:rPr>
          <w:rFonts w:hint="eastAsia" w:ascii="仿宋_GB2312" w:eastAsia="仿宋_GB2312"/>
          <w:sz w:val="32"/>
          <w:szCs w:val="32"/>
        </w:rPr>
        <w:t>保障</w:t>
      </w:r>
      <w:r>
        <w:rPr>
          <w:rFonts w:hint="eastAsia" w:ascii="仿宋_GB2312" w:eastAsia="仿宋_GB2312"/>
          <w:sz w:val="32"/>
          <w:szCs w:val="32"/>
          <w:lang w:val="zh-CN"/>
        </w:rPr>
        <w:t>、医保、房屋管理等部门应当按照职责分工，</w:t>
      </w:r>
      <w:r>
        <w:rPr>
          <w:rFonts w:hint="eastAsia" w:ascii="仿宋_GB2312" w:eastAsia="仿宋_GB2312"/>
          <w:sz w:val="32"/>
          <w:szCs w:val="32"/>
        </w:rPr>
        <w:t>通过官方网站、服务热线、服务场所等渠道</w:t>
      </w:r>
      <w:r>
        <w:rPr>
          <w:rFonts w:hint="eastAsia" w:ascii="仿宋_GB2312" w:eastAsia="仿宋_GB2312"/>
          <w:sz w:val="32"/>
          <w:szCs w:val="32"/>
          <w:lang w:val="zh-CN"/>
        </w:rPr>
        <w:t>为纳税人、缴费人提供纳税缴费咨询</w:t>
      </w:r>
      <w:r>
        <w:rPr>
          <w:rFonts w:hint="eastAsia" w:ascii="仿宋_GB2312" w:eastAsia="仿宋_GB2312"/>
          <w:sz w:val="32"/>
          <w:szCs w:val="32"/>
        </w:rPr>
        <w:t>和</w:t>
      </w:r>
      <w:r>
        <w:rPr>
          <w:rFonts w:hint="eastAsia" w:ascii="仿宋_GB2312" w:eastAsia="仿宋_GB2312"/>
          <w:sz w:val="32"/>
          <w:szCs w:val="32"/>
          <w:lang w:val="zh-CN"/>
        </w:rPr>
        <w:t>辅导服务；针对重点政策、重点领域，采取在服务场所开设专窗、配备专员等方式提供专业辅导服务。</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firstLine="641"/>
        <w:jc w:val="both"/>
        <w:outlineLvl w:val="9"/>
        <w:rPr>
          <w:rFonts w:ascii="仿宋_GB2312" w:hAnsi="仿宋_GB2312" w:eastAsia="仿宋_GB2312" w:cs="仿宋_GB2312"/>
          <w:sz w:val="32"/>
          <w:szCs w:val="32"/>
          <w:lang w:val="zh-CN"/>
        </w:rPr>
      </w:pPr>
      <w:r>
        <w:rPr>
          <w:rFonts w:hint="eastAsia" w:ascii="黑体" w:hAnsi="黑体" w:eastAsia="黑体"/>
          <w:sz w:val="32"/>
          <w:szCs w:val="32"/>
          <w:lang w:val="zh-CN"/>
        </w:rPr>
        <w:t>第十四条</w:t>
      </w:r>
      <w:r>
        <w:rPr>
          <w:rFonts w:hint="eastAsia" w:ascii="仿宋_GB2312" w:hAnsi="仿宋_GB2312" w:eastAsia="仿宋_GB2312" w:cs="仿宋_GB2312"/>
          <w:sz w:val="32"/>
          <w:szCs w:val="32"/>
          <w:lang w:val="zh-CN"/>
        </w:rPr>
        <w:t>（申报</w:t>
      </w:r>
      <w:r>
        <w:rPr>
          <w:rFonts w:hint="eastAsia" w:ascii="仿宋_GB2312" w:hAnsi="仿宋_GB2312" w:eastAsia="仿宋_GB2312" w:cs="仿宋_GB2312"/>
          <w:sz w:val="32"/>
          <w:szCs w:val="32"/>
        </w:rPr>
        <w:t>提醒服务</w:t>
      </w:r>
      <w:r>
        <w:rPr>
          <w:rFonts w:hint="eastAsia" w:ascii="仿宋_GB2312" w:hAnsi="仿宋_GB2312" w:eastAsia="仿宋_GB2312" w:cs="仿宋_GB2312"/>
          <w:sz w:val="32"/>
          <w:szCs w:val="32"/>
          <w:lang w:val="zh-CN"/>
        </w:rPr>
        <w:t>）</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firstLine="641"/>
        <w:jc w:val="both"/>
        <w:outlineLvl w:val="9"/>
        <w:rPr>
          <w:rFonts w:ascii="仿宋_GB2312" w:eastAsia="仿宋_GB2312"/>
          <w:sz w:val="32"/>
          <w:szCs w:val="32"/>
        </w:rPr>
      </w:pPr>
      <w:r>
        <w:rPr>
          <w:rFonts w:hint="eastAsia" w:ascii="仿宋_GB2312" w:hAnsi="仿宋_GB2312" w:eastAsia="仿宋_GB2312" w:cs="仿宋_GB2312"/>
          <w:sz w:val="32"/>
          <w:szCs w:val="32"/>
        </w:rPr>
        <w:t>税务机关可以通过互动平台</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电子税务局的网页端、客户端、移动端等多种方式，对纳税人、缴费人进行申报提醒。</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firstLine="641"/>
        <w:jc w:val="both"/>
        <w:outlineLvl w:val="9"/>
        <w:rPr>
          <w:rFonts w:ascii="仿宋_GB2312" w:hAnsi="仿宋_GB2312" w:eastAsia="仿宋_GB2312" w:cs="仿宋_GB2312"/>
          <w:sz w:val="32"/>
          <w:szCs w:val="32"/>
          <w:lang w:val="zh-CN"/>
        </w:rPr>
      </w:pPr>
      <w:r>
        <w:rPr>
          <w:rFonts w:hint="eastAsia" w:ascii="黑体" w:hAnsi="黑体" w:eastAsia="黑体"/>
          <w:sz w:val="32"/>
          <w:szCs w:val="32"/>
          <w:lang w:val="zh-CN"/>
        </w:rPr>
        <w:t>第十</w:t>
      </w:r>
      <w:r>
        <w:rPr>
          <w:rFonts w:hint="eastAsia" w:ascii="黑体" w:hAnsi="黑体" w:eastAsia="黑体"/>
          <w:sz w:val="32"/>
          <w:szCs w:val="32"/>
        </w:rPr>
        <w:t>五</w:t>
      </w:r>
      <w:r>
        <w:rPr>
          <w:rFonts w:hint="eastAsia" w:ascii="黑体" w:hAnsi="黑体" w:eastAsia="黑体"/>
          <w:sz w:val="32"/>
          <w:szCs w:val="32"/>
          <w:lang w:val="zh-CN"/>
        </w:rPr>
        <w:t>条</w:t>
      </w:r>
      <w:r>
        <w:rPr>
          <w:rFonts w:hint="eastAsia" w:ascii="仿宋_GB2312" w:hAnsi="仿宋_GB2312" w:eastAsia="仿宋_GB2312" w:cs="仿宋_GB2312"/>
          <w:sz w:val="32"/>
          <w:szCs w:val="32"/>
          <w:lang w:val="zh-CN"/>
        </w:rPr>
        <w:t>（税费优惠应享尽享）</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firstLine="641"/>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税务机关和</w:t>
      </w:r>
      <w:r>
        <w:rPr>
          <w:rFonts w:hint="eastAsia" w:ascii="仿宋_GB2312" w:hAnsi="仿宋_GB2312" w:eastAsia="仿宋_GB2312" w:cs="仿宋_GB2312"/>
          <w:sz w:val="32"/>
          <w:szCs w:val="32"/>
        </w:rPr>
        <w:t>人力资源社会保障、医保等部门以及非税收入相关部门应当按照职责分工，</w:t>
      </w:r>
      <w:r>
        <w:rPr>
          <w:rFonts w:hint="eastAsia" w:ascii="仿宋_GB2312" w:hAnsi="仿宋_GB2312" w:eastAsia="仿宋_GB2312" w:cs="仿宋_GB2312"/>
          <w:sz w:val="32"/>
          <w:szCs w:val="32"/>
          <w:lang w:val="zh-CN"/>
        </w:rPr>
        <w:t>综合运用税费大数据</w:t>
      </w:r>
      <w:r>
        <w:rPr>
          <w:rFonts w:hint="eastAsia" w:ascii="仿宋_GB2312" w:hAnsi="仿宋_GB2312" w:eastAsia="仿宋_GB2312" w:cs="仿宋_GB2312"/>
          <w:sz w:val="32"/>
          <w:szCs w:val="32"/>
        </w:rPr>
        <w:t>对纳税人、缴费人的情况进行分析甄别，</w:t>
      </w:r>
      <w:r>
        <w:rPr>
          <w:rFonts w:hint="eastAsia" w:ascii="仿宋_GB2312" w:hAnsi="仿宋_GB2312" w:eastAsia="仿宋_GB2312" w:cs="仿宋_GB2312"/>
          <w:sz w:val="32"/>
          <w:szCs w:val="32"/>
          <w:lang w:val="zh-CN"/>
        </w:rPr>
        <w:t>通过“一网通办”、电子税务局等渠道向相关纳税人、缴费人推送缓征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减征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免征税费等优惠政策。</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firstLine="641"/>
        <w:jc w:val="both"/>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发现纳税人、缴费人存在</w:t>
      </w:r>
      <w:r>
        <w:rPr>
          <w:rFonts w:hint="eastAsia" w:ascii="仿宋_GB2312" w:hAnsi="仿宋_GB2312" w:eastAsia="仿宋_GB2312" w:cs="仿宋_GB2312"/>
          <w:sz w:val="32"/>
          <w:szCs w:val="32"/>
        </w:rPr>
        <w:t>税费优惠政策应享未享的，相关部门应当及时进行提示。</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黑体" w:hAnsi="黑体" w:eastAsia="黑体"/>
          <w:sz w:val="32"/>
          <w:szCs w:val="32"/>
        </w:rPr>
        <w:t>第</w:t>
      </w:r>
      <w:r>
        <w:rPr>
          <w:rFonts w:hint="eastAsia" w:ascii="黑体" w:hAnsi="黑体" w:eastAsia="黑体"/>
          <w:sz w:val="32"/>
          <w:szCs w:val="32"/>
          <w:lang w:val="zh-CN"/>
        </w:rPr>
        <w:t>十</w:t>
      </w:r>
      <w:r>
        <w:rPr>
          <w:rFonts w:hint="eastAsia" w:ascii="黑体" w:hAnsi="黑体" w:eastAsia="黑体"/>
          <w:sz w:val="32"/>
          <w:szCs w:val="32"/>
        </w:rPr>
        <w:t>六</w:t>
      </w:r>
      <w:r>
        <w:rPr>
          <w:rFonts w:hint="eastAsia" w:ascii="黑体" w:hAnsi="黑体" w:eastAsia="黑体"/>
          <w:sz w:val="32"/>
          <w:szCs w:val="32"/>
          <w:lang w:val="zh-CN"/>
        </w:rPr>
        <w:t>条</w:t>
      </w:r>
      <w:r>
        <w:rPr>
          <w:rFonts w:hint="eastAsia" w:ascii="仿宋_GB2312" w:eastAsia="仿宋_GB2312"/>
          <w:sz w:val="32"/>
          <w:szCs w:val="32"/>
          <w:lang w:val="zh-CN"/>
        </w:rPr>
        <w:t>（电子发票）</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rPr>
      </w:pPr>
      <w:r>
        <w:rPr>
          <w:rFonts w:hint="eastAsia" w:ascii="仿宋_GB2312" w:eastAsia="仿宋_GB2312"/>
          <w:sz w:val="32"/>
          <w:szCs w:val="32"/>
          <w:lang w:val="zh-CN"/>
        </w:rPr>
        <w:t>税务机关应当</w:t>
      </w:r>
      <w:r>
        <w:rPr>
          <w:rFonts w:hint="eastAsia" w:ascii="仿宋_GB2312" w:eastAsia="仿宋_GB2312"/>
          <w:sz w:val="32"/>
          <w:szCs w:val="32"/>
        </w:rPr>
        <w:t>依托全国统一的电子发票服务平台，为纳税人提供</w:t>
      </w:r>
      <w:r>
        <w:rPr>
          <w:rFonts w:hint="eastAsia" w:ascii="仿宋_GB2312" w:eastAsia="仿宋_GB2312"/>
          <w:sz w:val="32"/>
          <w:szCs w:val="32"/>
          <w:lang w:val="zh-CN"/>
        </w:rPr>
        <w:t>发票开具、交付、查验</w:t>
      </w:r>
      <w:r>
        <w:rPr>
          <w:rFonts w:hint="eastAsia" w:ascii="仿宋_GB2312" w:eastAsia="仿宋_GB2312"/>
          <w:sz w:val="32"/>
          <w:szCs w:val="32"/>
        </w:rPr>
        <w:t>等服务。</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hAnsi="Times" w:eastAsia="仿宋_GB2312" w:cs="Times"/>
          <w:sz w:val="32"/>
          <w:szCs w:val="32"/>
        </w:rPr>
      </w:pPr>
      <w:r>
        <w:rPr>
          <w:rFonts w:hint="eastAsia" w:ascii="仿宋_GB2312" w:eastAsia="仿宋_GB2312"/>
          <w:sz w:val="32"/>
          <w:szCs w:val="32"/>
          <w:lang w:val="zh-CN"/>
        </w:rPr>
        <w:t>档案、财政、商务、</w:t>
      </w:r>
      <w:r>
        <w:rPr>
          <w:rFonts w:hint="eastAsia" w:ascii="仿宋_GB2312" w:eastAsia="仿宋_GB2312"/>
          <w:sz w:val="32"/>
          <w:szCs w:val="32"/>
        </w:rPr>
        <w:t>税务</w:t>
      </w:r>
      <w:r>
        <w:rPr>
          <w:rFonts w:hint="eastAsia" w:ascii="仿宋_GB2312" w:eastAsia="仿宋_GB2312"/>
          <w:sz w:val="32"/>
          <w:szCs w:val="32"/>
          <w:lang w:val="zh-CN"/>
        </w:rPr>
        <w:t>等部门应当按照国家有关规定，推进</w:t>
      </w:r>
      <w:r>
        <w:rPr>
          <w:rFonts w:hint="eastAsia" w:ascii="仿宋_GB2312" w:eastAsia="仿宋_GB2312"/>
          <w:sz w:val="32"/>
          <w:szCs w:val="32"/>
        </w:rPr>
        <w:t>增值税</w:t>
      </w:r>
      <w:r>
        <w:rPr>
          <w:rFonts w:hint="eastAsia" w:ascii="仿宋_GB2312" w:eastAsia="仿宋_GB2312"/>
          <w:sz w:val="32"/>
          <w:szCs w:val="32"/>
          <w:lang w:val="zh-CN"/>
        </w:rPr>
        <w:t>电子</w:t>
      </w:r>
      <w:r>
        <w:rPr>
          <w:rFonts w:hint="eastAsia" w:ascii="仿宋_GB2312" w:eastAsia="仿宋_GB2312"/>
          <w:sz w:val="32"/>
          <w:szCs w:val="32"/>
        </w:rPr>
        <w:t>发票电子化归集、</w:t>
      </w:r>
      <w:r>
        <w:rPr>
          <w:rFonts w:hint="eastAsia" w:ascii="仿宋_GB2312" w:eastAsia="仿宋_GB2312"/>
          <w:sz w:val="32"/>
          <w:szCs w:val="32"/>
          <w:lang w:val="zh-CN"/>
        </w:rPr>
        <w:t>报销、入账、归档。</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firstLine="641"/>
        <w:jc w:val="both"/>
        <w:outlineLvl w:val="9"/>
        <w:rPr>
          <w:rFonts w:ascii="仿宋_GB2312" w:hAnsi="仿宋_GB2312" w:eastAsia="仿宋_GB2312" w:cs="仿宋_GB2312"/>
          <w:sz w:val="32"/>
          <w:szCs w:val="32"/>
          <w:lang w:val="zh-CN"/>
        </w:rPr>
      </w:pPr>
      <w:r>
        <w:rPr>
          <w:rFonts w:hint="eastAsia" w:ascii="黑体" w:hAnsi="黑体" w:eastAsia="黑体"/>
          <w:sz w:val="32"/>
          <w:szCs w:val="32"/>
          <w:lang w:val="zh-CN"/>
        </w:rPr>
        <w:t>第</w:t>
      </w:r>
      <w:r>
        <w:rPr>
          <w:rFonts w:hint="eastAsia" w:ascii="黑体" w:hAnsi="黑体" w:eastAsia="黑体"/>
          <w:sz w:val="32"/>
          <w:szCs w:val="32"/>
        </w:rPr>
        <w:t>十七</w:t>
      </w:r>
      <w:r>
        <w:rPr>
          <w:rFonts w:hint="eastAsia" w:ascii="黑体" w:hAnsi="黑体" w:eastAsia="黑体"/>
          <w:sz w:val="32"/>
          <w:szCs w:val="32"/>
          <w:lang w:val="zh-CN"/>
        </w:rPr>
        <w:t>条</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专业服务机构</w:t>
      </w:r>
      <w:r>
        <w:rPr>
          <w:rFonts w:hint="eastAsia" w:ascii="仿宋_GB2312" w:hAnsi="仿宋_GB2312" w:eastAsia="仿宋_GB2312" w:cs="仿宋_GB2312"/>
          <w:sz w:val="32"/>
          <w:szCs w:val="32"/>
          <w:lang w:val="zh-CN"/>
        </w:rPr>
        <w:t>）</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仿宋_GB2312" w:eastAsia="仿宋_GB2312"/>
          <w:sz w:val="32"/>
          <w:szCs w:val="32"/>
          <w:lang w:val="zh-CN"/>
        </w:rPr>
        <w:t>本市</w:t>
      </w:r>
      <w:r>
        <w:rPr>
          <w:rFonts w:hint="eastAsia" w:ascii="仿宋_GB2312" w:eastAsia="仿宋_GB2312"/>
          <w:sz w:val="32"/>
          <w:szCs w:val="32"/>
        </w:rPr>
        <w:t>推进涉税涉费专业服务机构的培育和发展，</w:t>
      </w:r>
      <w:r>
        <w:rPr>
          <w:rFonts w:hint="eastAsia" w:ascii="仿宋_GB2312" w:eastAsia="仿宋_GB2312"/>
          <w:sz w:val="32"/>
          <w:szCs w:val="32"/>
          <w:lang w:val="zh-CN"/>
        </w:rPr>
        <w:t>支持</w:t>
      </w:r>
      <w:r>
        <w:rPr>
          <w:rFonts w:hint="eastAsia" w:ascii="仿宋_GB2312" w:eastAsia="仿宋_GB2312"/>
          <w:sz w:val="32"/>
          <w:szCs w:val="32"/>
        </w:rPr>
        <w:t>涉税涉费专业服务机构按照市场化原则，</w:t>
      </w:r>
      <w:r>
        <w:rPr>
          <w:rFonts w:hint="eastAsia" w:ascii="仿宋_GB2312" w:eastAsia="仿宋_GB2312"/>
          <w:sz w:val="32"/>
          <w:szCs w:val="32"/>
          <w:lang w:val="zh-CN"/>
        </w:rPr>
        <w:t>提供专业化、规范化、个性化服务。</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仿宋_GB2312" w:eastAsia="仿宋_GB2312"/>
          <w:sz w:val="32"/>
          <w:szCs w:val="32"/>
        </w:rPr>
        <w:t>税务师事务所和从事涉税专业服务的会计师事务所、律师事务所、代理记账机构、税务代理公司、财税类咨询公司等专业服务机构应当遵循诚实信用原则，恪守职业道德和执业纪律，依法为纳税人、缴费人提供税费申报代理、税费咨询、涉税鉴证等</w:t>
      </w:r>
      <w:r>
        <w:rPr>
          <w:rFonts w:hint="eastAsia" w:ascii="仿宋_GB2312" w:eastAsia="仿宋_GB2312"/>
          <w:sz w:val="32"/>
          <w:szCs w:val="32"/>
          <w:lang w:val="zh-CN"/>
        </w:rPr>
        <w:t>服务。</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p>
    <w:p>
      <w:pPr>
        <w:pStyle w:val="7"/>
        <w:keepNext w:val="0"/>
        <w:keepLines w:val="0"/>
        <w:pageBreakBefore w:val="0"/>
        <w:widowControl w:val="0"/>
        <w:numPr>
          <w:ilvl w:val="0"/>
          <w:numId w:val="0"/>
        </w:numPr>
        <w:kinsoku/>
        <w:wordWrap/>
        <w:overflowPunct/>
        <w:topLinePunct w:val="0"/>
        <w:autoSpaceDE/>
        <w:autoSpaceDN/>
        <w:bidi w:val="0"/>
        <w:snapToGrid w:val="0"/>
        <w:spacing w:line="560" w:lineRule="exact"/>
        <w:ind w:left="0"/>
        <w:jc w:val="center"/>
        <w:outlineLvl w:val="9"/>
        <w:rPr>
          <w:rFonts w:ascii="黑体" w:hAnsi="黑体" w:eastAsia="黑体"/>
          <w:sz w:val="32"/>
          <w:szCs w:val="32"/>
        </w:rPr>
      </w:pPr>
      <w:r>
        <w:rPr>
          <w:rFonts w:hint="eastAsia" w:ascii="黑体" w:hAnsi="黑体" w:eastAsia="黑体"/>
          <w:sz w:val="32"/>
          <w:szCs w:val="32"/>
          <w:lang w:eastAsia="zh-CN"/>
        </w:rPr>
        <w:t>第三章</w:t>
      </w:r>
      <w:r>
        <w:rPr>
          <w:rFonts w:hint="eastAsia" w:ascii="黑体" w:hAnsi="黑体" w:eastAsia="黑体"/>
          <w:sz w:val="32"/>
          <w:szCs w:val="32"/>
          <w:lang w:val="en-US" w:eastAsia="zh-CN"/>
        </w:rPr>
        <w:t xml:space="preserve"> </w:t>
      </w:r>
      <w:r>
        <w:rPr>
          <w:rFonts w:hint="eastAsia" w:ascii="黑体" w:hAnsi="黑体" w:eastAsia="黑体"/>
          <w:sz w:val="32"/>
          <w:szCs w:val="32"/>
        </w:rPr>
        <w:t>税费征收保障</w:t>
      </w:r>
    </w:p>
    <w:p>
      <w:pPr>
        <w:pStyle w:val="7"/>
        <w:keepNext w:val="0"/>
        <w:keepLines w:val="0"/>
        <w:pageBreakBefore w:val="0"/>
        <w:widowControl w:val="0"/>
        <w:kinsoku/>
        <w:wordWrap/>
        <w:overflowPunct/>
        <w:topLinePunct w:val="0"/>
        <w:autoSpaceDE/>
        <w:autoSpaceDN/>
        <w:bidi w:val="0"/>
        <w:snapToGrid w:val="0"/>
        <w:spacing w:line="560" w:lineRule="exact"/>
        <w:ind w:left="0" w:firstLine="640" w:firstLineChars="200"/>
        <w:jc w:val="both"/>
        <w:outlineLvl w:val="9"/>
        <w:rPr>
          <w:rFonts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黑体" w:hAnsi="黑体" w:eastAsia="黑体"/>
          <w:sz w:val="32"/>
          <w:szCs w:val="32"/>
          <w:lang w:val="zh-CN"/>
        </w:rPr>
      </w:pPr>
      <w:r>
        <w:rPr>
          <w:rFonts w:hint="eastAsia" w:ascii="黑体" w:hAnsi="黑体" w:eastAsia="黑体"/>
          <w:sz w:val="32"/>
          <w:szCs w:val="32"/>
          <w:lang w:val="zh-CN"/>
        </w:rPr>
        <w:t>第</w:t>
      </w:r>
      <w:r>
        <w:rPr>
          <w:rFonts w:hint="eastAsia" w:ascii="黑体" w:hAnsi="黑体" w:eastAsia="黑体"/>
          <w:sz w:val="32"/>
          <w:szCs w:val="32"/>
        </w:rPr>
        <w:t>十八</w:t>
      </w:r>
      <w:r>
        <w:rPr>
          <w:rFonts w:hint="eastAsia" w:ascii="黑体" w:hAnsi="黑体" w:eastAsia="黑体"/>
          <w:sz w:val="32"/>
          <w:szCs w:val="32"/>
          <w:lang w:val="zh-CN"/>
        </w:rPr>
        <w:t>条</w:t>
      </w:r>
      <w:r>
        <w:rPr>
          <w:rFonts w:hint="eastAsia" w:ascii="仿宋_GB2312" w:eastAsia="仿宋_GB2312"/>
          <w:sz w:val="32"/>
          <w:szCs w:val="32"/>
          <w:lang w:val="zh-CN"/>
        </w:rPr>
        <w:t>（税费信息共享机制）</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rPr>
      </w:pPr>
      <w:r>
        <w:rPr>
          <w:rFonts w:hint="eastAsia" w:ascii="仿宋_GB2312" w:eastAsia="仿宋_GB2312"/>
          <w:sz w:val="32"/>
          <w:szCs w:val="32"/>
        </w:rPr>
        <w:t>本市依托大数据资源平台等渠道，建立健全税费信息共享机制，实现税费信息数据上链、整合、共享与交换。</w:t>
      </w:r>
    </w:p>
    <w:p>
      <w:pPr>
        <w:pStyle w:val="7"/>
        <w:keepNext w:val="0"/>
        <w:keepLines w:val="0"/>
        <w:pageBreakBefore w:val="0"/>
        <w:widowControl w:val="0"/>
        <w:tabs>
          <w:tab w:val="left" w:pos="3600"/>
        </w:tabs>
        <w:kinsoku/>
        <w:wordWrap/>
        <w:overflowPunct/>
        <w:topLinePunct w:val="0"/>
        <w:autoSpaceDE/>
        <w:autoSpaceDN/>
        <w:bidi w:val="0"/>
        <w:snapToGrid w:val="0"/>
        <w:spacing w:line="560" w:lineRule="exact"/>
        <w:ind w:left="0" w:firstLine="640"/>
        <w:jc w:val="both"/>
        <w:outlineLvl w:val="9"/>
        <w:rPr>
          <w:rFonts w:ascii="仿宋_GB2312" w:hAnsi="仿宋_GB2312" w:eastAsia="仿宋_GB2312" w:cs="仿宋_GB2312"/>
          <w:strike/>
          <w:sz w:val="32"/>
          <w:szCs w:val="32"/>
        </w:rPr>
      </w:pPr>
      <w:r>
        <w:rPr>
          <w:rFonts w:hint="eastAsia" w:ascii="仿宋_GB2312" w:eastAsia="仿宋_GB2312"/>
          <w:sz w:val="32"/>
          <w:szCs w:val="32"/>
        </w:rPr>
        <w:t>税务机关在依法履行职责过程中需要共享使用其他部门或者单位公共数据的，可以通过大</w:t>
      </w:r>
      <w:r>
        <w:rPr>
          <w:rFonts w:hint="eastAsia" w:ascii="仿宋_GB2312" w:hAnsi="仿宋_GB2312" w:eastAsia="仿宋_GB2312" w:cs="仿宋_GB2312"/>
          <w:sz w:val="32"/>
          <w:szCs w:val="32"/>
        </w:rPr>
        <w:t>数据资源平台提出公共数据共享需求申请</w:t>
      </w:r>
      <w:r>
        <w:rPr>
          <w:rFonts w:hint="eastAsia" w:ascii="仿宋_GB2312" w:eastAsia="仿宋_GB2312"/>
          <w:sz w:val="32"/>
          <w:szCs w:val="32"/>
        </w:rPr>
        <w:t>，明确需求类型、应用场景等内容。</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仿宋_GB2312" w:eastAsia="仿宋_GB2312"/>
          <w:sz w:val="32"/>
          <w:szCs w:val="32"/>
          <w:lang w:val="zh-CN"/>
        </w:rPr>
        <w:t>对于</w:t>
      </w:r>
      <w:r>
        <w:rPr>
          <w:rFonts w:hint="eastAsia" w:ascii="仿宋_GB2312" w:eastAsia="仿宋_GB2312"/>
          <w:sz w:val="32"/>
          <w:szCs w:val="32"/>
        </w:rPr>
        <w:t>未列入本市公共数据目录的</w:t>
      </w:r>
      <w:r>
        <w:rPr>
          <w:rFonts w:hint="eastAsia" w:ascii="仿宋_GB2312" w:eastAsia="仿宋_GB2312"/>
          <w:sz w:val="32"/>
          <w:szCs w:val="32"/>
          <w:lang w:val="zh-CN"/>
        </w:rPr>
        <w:t>涉税涉费数据，因履行职责需要，税务机关可以</w:t>
      </w:r>
      <w:r>
        <w:rPr>
          <w:rFonts w:hint="eastAsia" w:ascii="仿宋_GB2312" w:eastAsia="仿宋_GB2312"/>
          <w:sz w:val="32"/>
          <w:szCs w:val="32"/>
        </w:rPr>
        <w:t>与</w:t>
      </w:r>
      <w:r>
        <w:rPr>
          <w:rFonts w:hint="eastAsia" w:ascii="仿宋_GB2312" w:eastAsia="仿宋_GB2312"/>
          <w:sz w:val="32"/>
          <w:szCs w:val="32"/>
          <w:lang w:val="zh-CN"/>
        </w:rPr>
        <w:t>相关部门和单位协商确定共享方式。</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仿宋_GB2312" w:hAnsi="仿宋_GB2312" w:eastAsia="仿宋_GB2312" w:cs="仿宋_GB2312"/>
          <w:sz w:val="32"/>
          <w:szCs w:val="32"/>
        </w:rPr>
        <w:t>税务机关等相关部门和单位，收集涉税涉费数据，应当限于实现处理目的的最小范围，不得超出履行法定职责所必需的范围和限度。</w:t>
      </w:r>
      <w:r>
        <w:rPr>
          <w:rFonts w:hint="eastAsia" w:ascii="仿宋_GB2312" w:eastAsia="仿宋_GB2312"/>
          <w:sz w:val="32"/>
          <w:szCs w:val="32"/>
        </w:rPr>
        <w:t>通过共享方式获取的</w:t>
      </w:r>
      <w:r>
        <w:rPr>
          <w:rFonts w:hint="eastAsia" w:ascii="仿宋_GB2312" w:eastAsia="仿宋_GB2312"/>
          <w:sz w:val="32"/>
          <w:szCs w:val="32"/>
          <w:lang w:val="zh-CN"/>
        </w:rPr>
        <w:t>涉税涉费数据，不得擅自扩大数据使用范围，不得擅自将纳税缴费情况作为办理业务事项的前置条件。</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黑体" w:hAnsi="黑体" w:eastAsia="黑体"/>
          <w:sz w:val="32"/>
          <w:szCs w:val="32"/>
        </w:rPr>
      </w:pPr>
      <w:r>
        <w:rPr>
          <w:rFonts w:hint="eastAsia" w:ascii="黑体" w:hAnsi="黑体" w:eastAsia="黑体"/>
          <w:sz w:val="32"/>
          <w:szCs w:val="32"/>
          <w:lang w:val="zh-CN"/>
        </w:rPr>
        <w:t>第</w:t>
      </w:r>
      <w:r>
        <w:rPr>
          <w:rFonts w:hint="eastAsia" w:ascii="黑体" w:hAnsi="黑体" w:eastAsia="黑体"/>
          <w:sz w:val="32"/>
          <w:szCs w:val="32"/>
        </w:rPr>
        <w:t>十九</w:t>
      </w:r>
      <w:r>
        <w:rPr>
          <w:rFonts w:hint="eastAsia" w:ascii="黑体" w:hAnsi="黑体" w:eastAsia="黑体"/>
          <w:sz w:val="32"/>
          <w:szCs w:val="32"/>
          <w:lang w:val="zh-CN"/>
        </w:rPr>
        <w:t>条</w:t>
      </w:r>
      <w:r>
        <w:rPr>
          <w:rFonts w:hint="eastAsia" w:ascii="仿宋_GB2312" w:eastAsia="仿宋_GB2312"/>
          <w:sz w:val="32"/>
          <w:szCs w:val="32"/>
          <w:lang w:val="zh-CN"/>
        </w:rPr>
        <w:t>（数据质量提升）</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仿宋_GB2312" w:eastAsia="仿宋_GB2312"/>
          <w:sz w:val="32"/>
          <w:szCs w:val="32"/>
        </w:rPr>
        <w:t>税务机关、其他相关部门和单位应当加强涉税涉费数据质量管理，规范数据收集，开展数据核查，</w:t>
      </w:r>
      <w:r>
        <w:rPr>
          <w:rFonts w:hint="eastAsia" w:ascii="仿宋_GB2312" w:hAnsi="仿宋_GB2312" w:eastAsia="仿宋_GB2312" w:cs="仿宋_GB2312"/>
          <w:sz w:val="32"/>
          <w:szCs w:val="32"/>
        </w:rPr>
        <w:t>完善本系统、本行业涉税涉费数据异议核实与处理工作机制，</w:t>
      </w:r>
      <w:r>
        <w:rPr>
          <w:rFonts w:hint="eastAsia" w:ascii="仿宋_GB2312" w:eastAsia="仿宋_GB2312"/>
          <w:sz w:val="32"/>
          <w:szCs w:val="32"/>
        </w:rPr>
        <w:t>确保数据的准确性、及时性和完整性。</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黑体" w:hAnsi="黑体" w:eastAsia="黑体"/>
          <w:sz w:val="32"/>
          <w:szCs w:val="32"/>
          <w:lang w:val="zh-CN"/>
        </w:rPr>
        <w:t>第二十条</w:t>
      </w:r>
      <w:r>
        <w:rPr>
          <w:rFonts w:hint="eastAsia" w:ascii="仿宋_GB2312" w:eastAsia="仿宋_GB2312"/>
          <w:sz w:val="32"/>
          <w:szCs w:val="32"/>
          <w:lang w:val="zh-CN"/>
        </w:rPr>
        <w:t>（社会保险费业务衔接）</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仿宋_GB2312" w:eastAsia="仿宋_GB2312"/>
          <w:sz w:val="32"/>
          <w:szCs w:val="32"/>
        </w:rPr>
        <w:t>本市推进社会保险费业务经办与申报缴纳流程联动办理</w:t>
      </w:r>
      <w:r>
        <w:rPr>
          <w:rFonts w:hint="eastAsia" w:ascii="仿宋_GB2312" w:eastAsia="仿宋_GB2312"/>
          <w:sz w:val="32"/>
          <w:szCs w:val="32"/>
          <w:lang w:val="zh-CN"/>
        </w:rPr>
        <w:t>。人力资源社会保障、医保等部门</w:t>
      </w:r>
      <w:r>
        <w:rPr>
          <w:rFonts w:hint="eastAsia" w:ascii="仿宋_GB2312" w:eastAsia="仿宋_GB2312"/>
          <w:sz w:val="32"/>
          <w:szCs w:val="32"/>
        </w:rPr>
        <w:t>在为缴费人办理社会保险登记后，应当及时将相关登记信息传送至税务机关。</w:t>
      </w:r>
      <w:r>
        <w:rPr>
          <w:rFonts w:hint="eastAsia" w:ascii="仿宋_GB2312" w:eastAsia="仿宋_GB2312"/>
          <w:sz w:val="32"/>
          <w:szCs w:val="32"/>
          <w:lang w:val="zh-CN"/>
        </w:rPr>
        <w:t>税务机关在缴费人申报缴纳社会保险费后，应当及时将征收信息反馈人力资源社会保障、医保等部门。</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仿宋_GB2312" w:eastAsia="仿宋_GB2312"/>
          <w:sz w:val="32"/>
          <w:szCs w:val="32"/>
          <w:lang w:val="zh-CN"/>
        </w:rPr>
        <w:t>教育部门应</w:t>
      </w:r>
      <w:r>
        <w:rPr>
          <w:rFonts w:hint="eastAsia" w:ascii="仿宋_GB2312" w:eastAsia="仿宋_GB2312"/>
          <w:sz w:val="32"/>
          <w:szCs w:val="32"/>
        </w:rPr>
        <w:t>当</w:t>
      </w:r>
      <w:r>
        <w:rPr>
          <w:rFonts w:hint="eastAsia" w:ascii="仿宋_GB2312" w:eastAsia="仿宋_GB2312"/>
          <w:sz w:val="32"/>
          <w:szCs w:val="32"/>
          <w:lang w:val="zh-CN"/>
        </w:rPr>
        <w:t>协助税务机关做好在校学生缴费宣传辅导、提醒提示等工作。</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黑体" w:hAnsi="黑体" w:eastAsia="黑体"/>
          <w:sz w:val="32"/>
          <w:szCs w:val="32"/>
          <w:lang w:val="zh-CN"/>
        </w:rPr>
        <w:t>第二十</w:t>
      </w:r>
      <w:r>
        <w:rPr>
          <w:rFonts w:hint="eastAsia" w:ascii="黑体" w:hAnsi="黑体" w:eastAsia="黑体"/>
          <w:sz w:val="32"/>
          <w:szCs w:val="32"/>
        </w:rPr>
        <w:t>一</w:t>
      </w:r>
      <w:r>
        <w:rPr>
          <w:rFonts w:hint="eastAsia" w:ascii="黑体" w:hAnsi="黑体" w:eastAsia="黑体"/>
          <w:sz w:val="32"/>
          <w:szCs w:val="32"/>
          <w:lang w:val="zh-CN"/>
        </w:rPr>
        <w:t>条</w:t>
      </w:r>
      <w:r>
        <w:rPr>
          <w:rFonts w:hint="eastAsia" w:ascii="仿宋_GB2312" w:eastAsia="仿宋_GB2312"/>
          <w:sz w:val="32"/>
          <w:szCs w:val="32"/>
          <w:lang w:val="zh-CN"/>
        </w:rPr>
        <w:t>（政府非税收入业务衔接）</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rPr>
      </w:pPr>
      <w:r>
        <w:rPr>
          <w:rFonts w:hint="eastAsia" w:ascii="仿宋_GB2312" w:eastAsia="仿宋_GB2312"/>
          <w:sz w:val="32"/>
          <w:szCs w:val="32"/>
        </w:rPr>
        <w:t>对于国家确定由税务机关征收的政府非税收入事项，非税收入相关部门</w:t>
      </w:r>
      <w:r>
        <w:rPr>
          <w:rFonts w:hint="eastAsia" w:ascii="仿宋_GB2312" w:eastAsia="仿宋_GB2312"/>
          <w:sz w:val="32"/>
          <w:szCs w:val="32"/>
          <w:lang w:val="zh-CN"/>
        </w:rPr>
        <w:t>应当与税务机关做好政府非税收入业务衔接，</w:t>
      </w:r>
      <w:r>
        <w:rPr>
          <w:rFonts w:hint="eastAsia" w:ascii="仿宋_GB2312" w:eastAsia="仿宋_GB2312"/>
          <w:sz w:val="32"/>
          <w:szCs w:val="32"/>
        </w:rPr>
        <w:t>及时将缴费人、缴费金额、缴费期限等费源信息传送至税务机关，</w:t>
      </w:r>
      <w:r>
        <w:rPr>
          <w:rFonts w:hint="eastAsia" w:ascii="仿宋_GB2312" w:eastAsia="仿宋_GB2312"/>
          <w:sz w:val="32"/>
          <w:szCs w:val="32"/>
          <w:lang w:val="zh-CN"/>
        </w:rPr>
        <w:t>协助税务机关</w:t>
      </w:r>
      <w:r>
        <w:rPr>
          <w:rFonts w:hint="eastAsia" w:ascii="仿宋_GB2312" w:eastAsia="仿宋_GB2312"/>
          <w:sz w:val="32"/>
          <w:szCs w:val="32"/>
        </w:rPr>
        <w:t>做好</w:t>
      </w:r>
      <w:r>
        <w:rPr>
          <w:rFonts w:hint="eastAsia" w:ascii="仿宋_GB2312" w:eastAsia="仿宋_GB2312"/>
          <w:sz w:val="32"/>
          <w:szCs w:val="32"/>
          <w:lang w:val="zh-CN"/>
        </w:rPr>
        <w:t>政府非税收入</w:t>
      </w:r>
      <w:r>
        <w:rPr>
          <w:rFonts w:hint="eastAsia" w:ascii="仿宋_GB2312" w:eastAsia="仿宋_GB2312"/>
          <w:sz w:val="32"/>
          <w:szCs w:val="32"/>
        </w:rPr>
        <w:t>征收</w:t>
      </w:r>
      <w:r>
        <w:rPr>
          <w:rFonts w:hint="eastAsia" w:ascii="仿宋_GB2312" w:eastAsia="仿宋_GB2312"/>
          <w:sz w:val="32"/>
          <w:szCs w:val="32"/>
          <w:lang w:val="zh-CN"/>
        </w:rPr>
        <w:t>管理工作。</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仿宋_GB2312" w:eastAsia="仿宋_GB2312"/>
          <w:sz w:val="32"/>
          <w:szCs w:val="32"/>
          <w:lang w:val="zh-CN"/>
        </w:rPr>
        <w:t>税务机关应当及时向非税收入相关部门反馈政府非税收入征收信息。</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黑体" w:hAnsi="黑体" w:eastAsia="黑体"/>
          <w:sz w:val="32"/>
          <w:szCs w:val="32"/>
          <w:lang w:val="zh-CN"/>
        </w:rPr>
        <w:t>第</w:t>
      </w:r>
      <w:r>
        <w:rPr>
          <w:rFonts w:hint="eastAsia" w:ascii="黑体" w:hAnsi="黑体" w:eastAsia="黑体"/>
          <w:sz w:val="32"/>
          <w:szCs w:val="32"/>
        </w:rPr>
        <w:t>二十二</w:t>
      </w:r>
      <w:r>
        <w:rPr>
          <w:rFonts w:hint="eastAsia" w:ascii="黑体" w:hAnsi="黑体" w:eastAsia="黑体"/>
          <w:sz w:val="32"/>
          <w:szCs w:val="32"/>
          <w:lang w:val="zh-CN"/>
        </w:rPr>
        <w:t>条</w:t>
      </w:r>
      <w:r>
        <w:rPr>
          <w:rFonts w:hint="eastAsia" w:ascii="仿宋_GB2312" w:eastAsia="仿宋_GB2312"/>
          <w:sz w:val="32"/>
          <w:szCs w:val="32"/>
          <w:lang w:val="zh-CN"/>
        </w:rPr>
        <w:t>（智慧税务）</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仿宋_GB2312" w:eastAsia="仿宋_GB2312"/>
          <w:sz w:val="32"/>
          <w:szCs w:val="32"/>
        </w:rPr>
        <w:t>市</w:t>
      </w:r>
      <w:r>
        <w:rPr>
          <w:rFonts w:hint="eastAsia" w:ascii="仿宋_GB2312" w:eastAsia="仿宋_GB2312"/>
          <w:sz w:val="32"/>
          <w:szCs w:val="32"/>
          <w:lang w:val="zh-CN"/>
        </w:rPr>
        <w:t>税务机关应当运用大数据、云计算、人工智能、区块链、移动互联网等现代信息技术，推动与税费征收相关的各类数据汇聚联通应用，</w:t>
      </w:r>
      <w:r>
        <w:rPr>
          <w:rFonts w:hint="eastAsia" w:ascii="仿宋_GB2312" w:eastAsia="仿宋_GB2312"/>
          <w:sz w:val="32"/>
          <w:szCs w:val="32"/>
        </w:rPr>
        <w:t>推进</w:t>
      </w:r>
      <w:r>
        <w:rPr>
          <w:rFonts w:hint="eastAsia" w:ascii="仿宋_GB2312" w:eastAsia="仿宋_GB2312"/>
          <w:sz w:val="32"/>
          <w:szCs w:val="32"/>
          <w:lang w:val="zh-CN"/>
        </w:rPr>
        <w:t>高集成功能、高安全性能、高应用效能的智慧税务</w:t>
      </w:r>
      <w:r>
        <w:rPr>
          <w:rFonts w:hint="eastAsia" w:ascii="仿宋_GB2312" w:eastAsia="仿宋_GB2312"/>
          <w:sz w:val="32"/>
          <w:szCs w:val="32"/>
        </w:rPr>
        <w:t>建设</w:t>
      </w:r>
      <w:r>
        <w:rPr>
          <w:rFonts w:hint="eastAsia" w:ascii="仿宋_GB2312" w:eastAsia="仿宋_GB2312"/>
          <w:sz w:val="32"/>
          <w:szCs w:val="32"/>
          <w:lang w:val="zh-CN"/>
        </w:rPr>
        <w:t>，</w:t>
      </w:r>
      <w:r>
        <w:rPr>
          <w:rFonts w:hint="eastAsia" w:ascii="仿宋_GB2312" w:eastAsia="仿宋_GB2312"/>
          <w:sz w:val="32"/>
          <w:szCs w:val="32"/>
        </w:rPr>
        <w:t>完善</w:t>
      </w:r>
      <w:r>
        <w:rPr>
          <w:rFonts w:hint="eastAsia" w:ascii="仿宋_GB2312" w:eastAsia="仿宋_GB2312"/>
          <w:sz w:val="32"/>
          <w:szCs w:val="32"/>
          <w:lang w:val="zh-CN"/>
        </w:rPr>
        <w:t>对纳税缴费的数字化、智能</w:t>
      </w:r>
      <w:r>
        <w:rPr>
          <w:rFonts w:hint="eastAsia" w:ascii="仿宋_GB2312" w:eastAsia="仿宋_GB2312"/>
          <w:sz w:val="32"/>
          <w:szCs w:val="32"/>
        </w:rPr>
        <w:t>化</w:t>
      </w:r>
      <w:r>
        <w:rPr>
          <w:rFonts w:hint="eastAsia" w:ascii="仿宋_GB2312" w:eastAsia="仿宋_GB2312"/>
          <w:sz w:val="32"/>
          <w:szCs w:val="32"/>
          <w:lang w:val="zh-CN"/>
        </w:rPr>
        <w:t>管理。</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rPr>
      </w:pPr>
      <w:r>
        <w:rPr>
          <w:rFonts w:hint="eastAsia" w:ascii="黑体" w:hAnsi="黑体" w:eastAsia="黑体"/>
          <w:sz w:val="32"/>
          <w:szCs w:val="32"/>
          <w:lang w:val="zh-CN"/>
        </w:rPr>
        <w:t>第</w:t>
      </w:r>
      <w:r>
        <w:rPr>
          <w:rFonts w:hint="eastAsia" w:ascii="黑体" w:hAnsi="黑体" w:eastAsia="黑体"/>
          <w:sz w:val="32"/>
          <w:szCs w:val="32"/>
        </w:rPr>
        <w:t>二十三</w:t>
      </w:r>
      <w:r>
        <w:rPr>
          <w:rFonts w:hint="eastAsia" w:ascii="黑体" w:hAnsi="黑体" w:eastAsia="黑体"/>
          <w:sz w:val="32"/>
          <w:szCs w:val="32"/>
          <w:lang w:val="zh-CN"/>
        </w:rPr>
        <w:t>条</w:t>
      </w:r>
      <w:r>
        <w:rPr>
          <w:rFonts w:hint="eastAsia" w:ascii="仿宋_GB2312" w:eastAsia="仿宋_GB2312"/>
          <w:sz w:val="32"/>
          <w:szCs w:val="32"/>
          <w:lang w:val="zh-CN"/>
        </w:rPr>
        <w:t>（税</w:t>
      </w:r>
      <w:r>
        <w:rPr>
          <w:rFonts w:hint="eastAsia" w:ascii="仿宋_GB2312" w:eastAsia="仿宋_GB2312"/>
          <w:sz w:val="32"/>
          <w:szCs w:val="32"/>
        </w:rPr>
        <w:t>费</w:t>
      </w:r>
      <w:r>
        <w:rPr>
          <w:rFonts w:hint="eastAsia" w:ascii="仿宋_GB2312" w:eastAsia="仿宋_GB2312"/>
          <w:sz w:val="32"/>
          <w:szCs w:val="32"/>
          <w:lang w:val="zh-CN"/>
        </w:rPr>
        <w:t>优惠资格</w:t>
      </w:r>
      <w:r>
        <w:rPr>
          <w:rFonts w:hint="eastAsia" w:ascii="仿宋_GB2312" w:eastAsia="仿宋_GB2312"/>
          <w:sz w:val="32"/>
          <w:szCs w:val="32"/>
        </w:rPr>
        <w:t>核查</w:t>
      </w:r>
      <w:r>
        <w:rPr>
          <w:rFonts w:hint="eastAsia" w:ascii="仿宋_GB2312" w:eastAsia="仿宋_GB2312"/>
          <w:sz w:val="32"/>
          <w:szCs w:val="32"/>
          <w:lang w:val="zh-CN"/>
        </w:rPr>
        <w:t>）</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仿宋_GB2312" w:eastAsia="仿宋_GB2312"/>
          <w:sz w:val="32"/>
          <w:szCs w:val="32"/>
          <w:lang w:val="zh-CN"/>
        </w:rPr>
        <w:t>税务机关</w:t>
      </w:r>
      <w:r>
        <w:rPr>
          <w:rFonts w:hint="eastAsia" w:ascii="仿宋_GB2312" w:eastAsia="仿宋_GB2312"/>
          <w:sz w:val="32"/>
          <w:szCs w:val="32"/>
        </w:rPr>
        <w:t>在落实税费优惠政策过程中发现</w:t>
      </w:r>
      <w:r>
        <w:rPr>
          <w:rFonts w:hint="eastAsia" w:ascii="仿宋_GB2312" w:eastAsia="仿宋_GB2312"/>
          <w:sz w:val="32"/>
          <w:szCs w:val="32"/>
          <w:lang w:val="zh-CN"/>
        </w:rPr>
        <w:t>纳税人、缴费人</w:t>
      </w:r>
      <w:r>
        <w:rPr>
          <w:rFonts w:hint="eastAsia" w:ascii="仿宋_GB2312" w:eastAsia="仿宋_GB2312"/>
          <w:sz w:val="32"/>
          <w:szCs w:val="32"/>
        </w:rPr>
        <w:t>信息变动、资质资格不确定或者享受</w:t>
      </w:r>
      <w:r>
        <w:rPr>
          <w:rFonts w:hint="eastAsia" w:ascii="仿宋_GB2312" w:eastAsia="仿宋_GB2312"/>
          <w:sz w:val="32"/>
          <w:szCs w:val="32"/>
          <w:lang w:val="zh-CN"/>
        </w:rPr>
        <w:t>税费优惠政策的</w:t>
      </w:r>
      <w:r>
        <w:rPr>
          <w:rFonts w:hint="eastAsia" w:ascii="仿宋_GB2312" w:eastAsia="仿宋_GB2312"/>
          <w:sz w:val="32"/>
          <w:szCs w:val="32"/>
        </w:rPr>
        <w:t>条件不清晰等情形的</w:t>
      </w:r>
      <w:r>
        <w:rPr>
          <w:rFonts w:hint="eastAsia" w:ascii="仿宋_GB2312" w:eastAsia="仿宋_GB2312"/>
          <w:sz w:val="32"/>
          <w:szCs w:val="32"/>
          <w:lang w:val="zh-CN"/>
        </w:rPr>
        <w:t>，</w:t>
      </w:r>
      <w:r>
        <w:rPr>
          <w:rFonts w:hint="eastAsia" w:ascii="仿宋_GB2312" w:eastAsia="仿宋_GB2312"/>
          <w:sz w:val="32"/>
          <w:szCs w:val="32"/>
        </w:rPr>
        <w:t>可以提请相关部门和单位核查，</w:t>
      </w:r>
      <w:r>
        <w:rPr>
          <w:rFonts w:hint="eastAsia" w:ascii="仿宋_GB2312" w:eastAsia="仿宋_GB2312"/>
          <w:sz w:val="32"/>
          <w:szCs w:val="32"/>
          <w:lang w:val="zh-CN"/>
        </w:rPr>
        <w:t>相关部门和单位应当及时</w:t>
      </w:r>
      <w:r>
        <w:rPr>
          <w:rFonts w:hint="eastAsia" w:ascii="仿宋_GB2312" w:eastAsia="仿宋_GB2312"/>
          <w:sz w:val="32"/>
          <w:szCs w:val="32"/>
        </w:rPr>
        <w:t>核实信息，</w:t>
      </w:r>
      <w:r>
        <w:rPr>
          <w:rFonts w:hint="eastAsia" w:ascii="仿宋_GB2312" w:eastAsia="仿宋_GB2312"/>
          <w:sz w:val="32"/>
          <w:szCs w:val="32"/>
          <w:lang w:val="zh-CN"/>
        </w:rPr>
        <w:t>出具核查意见</w:t>
      </w:r>
      <w:r>
        <w:rPr>
          <w:rFonts w:hint="eastAsia" w:ascii="仿宋_GB2312" w:eastAsia="仿宋_GB2312"/>
          <w:sz w:val="32"/>
          <w:szCs w:val="32"/>
        </w:rPr>
        <w:t>或者专业鉴定意见</w:t>
      </w:r>
      <w:r>
        <w:rPr>
          <w:rFonts w:hint="eastAsia" w:ascii="仿宋_GB2312" w:eastAsia="仿宋_GB2312"/>
          <w:sz w:val="32"/>
          <w:szCs w:val="32"/>
          <w:lang w:val="zh-CN"/>
        </w:rPr>
        <w:t>。</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发现纳税人、缴费人不符合税费优惠条件的，税务机关应当依法处理。</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黑体" w:hAnsi="黑体" w:eastAsia="黑体"/>
          <w:sz w:val="32"/>
          <w:szCs w:val="32"/>
          <w:lang w:val="zh-CN"/>
        </w:rPr>
        <w:t>第</w:t>
      </w:r>
      <w:r>
        <w:rPr>
          <w:rFonts w:hint="eastAsia" w:ascii="黑体" w:hAnsi="黑体" w:eastAsia="黑体"/>
          <w:sz w:val="32"/>
          <w:szCs w:val="32"/>
        </w:rPr>
        <w:t>二十四</w:t>
      </w:r>
      <w:r>
        <w:rPr>
          <w:rFonts w:hint="eastAsia" w:ascii="黑体" w:hAnsi="黑体" w:eastAsia="黑体"/>
          <w:sz w:val="32"/>
          <w:szCs w:val="32"/>
          <w:lang w:val="zh-CN"/>
        </w:rPr>
        <w:t>条</w:t>
      </w:r>
      <w:r>
        <w:rPr>
          <w:rFonts w:hint="eastAsia" w:ascii="仿宋_GB2312" w:eastAsia="仿宋_GB2312"/>
          <w:sz w:val="32"/>
          <w:szCs w:val="32"/>
          <w:lang w:val="zh-CN"/>
        </w:rPr>
        <w:t>（涉税财物价格认定）</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仿宋_GB2312" w:eastAsia="仿宋_GB2312"/>
          <w:sz w:val="32"/>
          <w:szCs w:val="32"/>
          <w:lang w:val="zh-CN"/>
        </w:rPr>
        <w:t>涉税财物出现价格不明、价格有争议等情形，</w:t>
      </w:r>
      <w:r>
        <w:rPr>
          <w:rFonts w:hint="eastAsia" w:ascii="仿宋_GB2312" w:eastAsia="仿宋_GB2312"/>
          <w:sz w:val="32"/>
          <w:szCs w:val="32"/>
        </w:rPr>
        <w:t>需要进行涉税财物价格认定的，</w:t>
      </w:r>
      <w:r>
        <w:rPr>
          <w:rFonts w:hint="eastAsia" w:ascii="仿宋_GB2312" w:eastAsia="仿宋_GB2312"/>
          <w:sz w:val="32"/>
          <w:szCs w:val="32"/>
          <w:lang w:val="zh-CN"/>
        </w:rPr>
        <w:t>税务机关可以向价格主管部门所属的价格认定机构提出价格认定协助。价格认定机构应当</w:t>
      </w:r>
      <w:r>
        <w:rPr>
          <w:rFonts w:hint="eastAsia" w:ascii="仿宋_GB2312" w:eastAsia="仿宋_GB2312"/>
          <w:sz w:val="32"/>
          <w:szCs w:val="32"/>
        </w:rPr>
        <w:t>在约定的期限内</w:t>
      </w:r>
      <w:r>
        <w:rPr>
          <w:rFonts w:hint="eastAsia" w:ascii="仿宋_GB2312" w:eastAsia="仿宋_GB2312"/>
          <w:sz w:val="32"/>
          <w:szCs w:val="32"/>
          <w:lang w:val="zh-CN"/>
        </w:rPr>
        <w:t>出具价格认定</w:t>
      </w:r>
      <w:r>
        <w:rPr>
          <w:rFonts w:hint="eastAsia" w:ascii="仿宋_GB2312" w:eastAsia="仿宋_GB2312"/>
          <w:sz w:val="32"/>
          <w:szCs w:val="32"/>
        </w:rPr>
        <w:t>结论。经税务机关认可后，可以作为计税或者确定抵税财物价格的依据</w:t>
      </w:r>
      <w:r>
        <w:rPr>
          <w:rFonts w:hint="eastAsia" w:ascii="仿宋_GB2312" w:eastAsia="仿宋_GB2312"/>
          <w:sz w:val="32"/>
          <w:szCs w:val="32"/>
          <w:lang w:val="zh-CN"/>
        </w:rPr>
        <w:t>。</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黑体" w:hAnsi="黑体" w:eastAsia="黑体"/>
          <w:sz w:val="32"/>
          <w:szCs w:val="32"/>
          <w:lang w:val="zh-CN"/>
        </w:rPr>
        <w:t>第</w:t>
      </w:r>
      <w:r>
        <w:rPr>
          <w:rFonts w:hint="eastAsia" w:ascii="黑体" w:hAnsi="黑体" w:eastAsia="黑体"/>
          <w:sz w:val="32"/>
          <w:szCs w:val="32"/>
        </w:rPr>
        <w:t>二十五</w:t>
      </w:r>
      <w:r>
        <w:rPr>
          <w:rFonts w:hint="eastAsia" w:ascii="黑体" w:hAnsi="黑体" w:eastAsia="黑体"/>
          <w:sz w:val="32"/>
          <w:szCs w:val="32"/>
          <w:lang w:val="zh-CN"/>
        </w:rPr>
        <w:t>条</w:t>
      </w:r>
      <w:r>
        <w:rPr>
          <w:rFonts w:hint="eastAsia" w:ascii="仿宋_GB2312" w:eastAsia="仿宋_GB2312"/>
          <w:sz w:val="32"/>
          <w:szCs w:val="32"/>
          <w:lang w:val="zh-CN"/>
        </w:rPr>
        <w:t>（</w:t>
      </w:r>
      <w:r>
        <w:rPr>
          <w:rFonts w:hint="eastAsia" w:ascii="仿宋_GB2312" w:eastAsia="仿宋_GB2312"/>
          <w:sz w:val="32"/>
          <w:szCs w:val="32"/>
        </w:rPr>
        <w:t>涉税</w:t>
      </w:r>
      <w:r>
        <w:rPr>
          <w:rFonts w:hint="eastAsia" w:ascii="仿宋_GB2312" w:eastAsia="仿宋_GB2312"/>
          <w:sz w:val="32"/>
          <w:szCs w:val="32"/>
          <w:lang w:val="zh-CN"/>
        </w:rPr>
        <w:t>信息查验）</w:t>
      </w:r>
    </w:p>
    <w:p>
      <w:pPr>
        <w:pStyle w:val="7"/>
        <w:keepNext w:val="0"/>
        <w:keepLines w:val="0"/>
        <w:pageBreakBefore w:val="0"/>
        <w:widowControl w:val="0"/>
        <w:kinsoku/>
        <w:wordWrap/>
        <w:overflowPunct/>
        <w:topLinePunct w:val="0"/>
        <w:autoSpaceDE/>
        <w:autoSpaceDN/>
        <w:bidi w:val="0"/>
        <w:snapToGrid w:val="0"/>
        <w:spacing w:line="560" w:lineRule="exact"/>
        <w:ind w:left="0" w:firstLine="640" w:firstLineChars="200"/>
        <w:jc w:val="both"/>
        <w:outlineLvl w:val="9"/>
        <w:rPr>
          <w:rFonts w:ascii="仿宋_GB2312" w:eastAsia="仿宋_GB2312"/>
          <w:sz w:val="32"/>
          <w:szCs w:val="32"/>
        </w:rPr>
      </w:pPr>
      <w:r>
        <w:rPr>
          <w:rFonts w:hint="eastAsia" w:ascii="仿宋_GB2312" w:eastAsia="仿宋_GB2312"/>
          <w:sz w:val="32"/>
          <w:szCs w:val="32"/>
          <w:lang w:val="zh-CN"/>
        </w:rPr>
        <w:t>不动产登记机构、市场监管等部门按照职责分工办理不动产权属登记、建设用地批准手续、个人转让股权变更登记等事项时，应当依法查验相关完税情况、减免税</w:t>
      </w:r>
      <w:r>
        <w:rPr>
          <w:rFonts w:hint="eastAsia" w:ascii="仿宋_GB2312" w:eastAsia="仿宋_GB2312"/>
          <w:sz w:val="32"/>
          <w:szCs w:val="32"/>
        </w:rPr>
        <w:t>证明</w:t>
      </w:r>
      <w:r>
        <w:rPr>
          <w:rFonts w:hint="eastAsia" w:ascii="仿宋_GB2312" w:eastAsia="仿宋_GB2312"/>
          <w:sz w:val="32"/>
          <w:szCs w:val="32"/>
          <w:lang w:val="zh-CN"/>
        </w:rPr>
        <w:t>信息</w:t>
      </w:r>
      <w:r>
        <w:rPr>
          <w:rFonts w:hint="eastAsia" w:ascii="仿宋_GB2312" w:eastAsia="仿宋_GB2312"/>
          <w:sz w:val="32"/>
          <w:szCs w:val="32"/>
        </w:rPr>
        <w:t>等。发现当事人</w:t>
      </w:r>
      <w:r>
        <w:rPr>
          <w:rFonts w:hint="eastAsia" w:ascii="仿宋_GB2312" w:eastAsia="仿宋_GB2312"/>
          <w:sz w:val="32"/>
          <w:szCs w:val="32"/>
          <w:lang w:val="zh-CN"/>
        </w:rPr>
        <w:t>未履行申报缴纳义务的，相关部门应当</w:t>
      </w:r>
      <w:r>
        <w:rPr>
          <w:rFonts w:hint="eastAsia" w:ascii="仿宋_GB2312" w:eastAsia="仿宋_GB2312"/>
          <w:sz w:val="32"/>
          <w:szCs w:val="32"/>
        </w:rPr>
        <w:t>向</w:t>
      </w:r>
      <w:r>
        <w:rPr>
          <w:rFonts w:ascii="仿宋_GB2312" w:eastAsia="仿宋_GB2312"/>
          <w:sz w:val="32"/>
          <w:szCs w:val="32"/>
        </w:rPr>
        <w:t>当事人</w:t>
      </w:r>
      <w:r>
        <w:rPr>
          <w:rFonts w:hint="eastAsia" w:ascii="仿宋_GB2312" w:eastAsia="仿宋_GB2312"/>
          <w:sz w:val="32"/>
          <w:szCs w:val="32"/>
        </w:rPr>
        <w:t>作出提示。</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黑体" w:hAnsi="黑体" w:eastAsia="黑体"/>
          <w:sz w:val="32"/>
          <w:szCs w:val="32"/>
          <w:lang w:val="zh-CN"/>
        </w:rPr>
        <w:t>第</w:t>
      </w:r>
      <w:r>
        <w:rPr>
          <w:rFonts w:hint="eastAsia" w:ascii="黑体" w:hAnsi="黑体" w:eastAsia="黑体"/>
          <w:sz w:val="32"/>
          <w:szCs w:val="32"/>
        </w:rPr>
        <w:t>二十六</w:t>
      </w:r>
      <w:r>
        <w:rPr>
          <w:rFonts w:hint="eastAsia" w:ascii="黑体" w:hAnsi="黑体" w:eastAsia="黑体"/>
          <w:sz w:val="32"/>
          <w:szCs w:val="32"/>
          <w:lang w:val="zh-CN"/>
        </w:rPr>
        <w:t>条</w:t>
      </w:r>
      <w:r>
        <w:rPr>
          <w:rFonts w:hint="eastAsia" w:ascii="仿宋_GB2312" w:eastAsia="仿宋_GB2312"/>
          <w:sz w:val="32"/>
          <w:szCs w:val="32"/>
          <w:lang w:val="zh-CN"/>
        </w:rPr>
        <w:t>（司法案件税费处理）</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hAnsi="Times" w:eastAsia="仿宋_GB2312" w:cs="Times"/>
          <w:sz w:val="32"/>
          <w:szCs w:val="32"/>
        </w:rPr>
      </w:pPr>
      <w:r>
        <w:rPr>
          <w:rFonts w:hint="eastAsia" w:ascii="仿宋_GB2312" w:hAnsi="Times" w:eastAsia="仿宋_GB2312" w:cs="Times"/>
          <w:sz w:val="32"/>
          <w:szCs w:val="32"/>
        </w:rPr>
        <w:t>税务机关应当与人民法院建立健全税费征收和司法执行协作机制，在司法处置动产、不动产、股权等所涉税费的征收，被执行人历史欠缴税费的追缴，以及税费划扣等方面开展协作。</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仿宋_GB2312" w:eastAsia="仿宋_GB2312"/>
          <w:sz w:val="32"/>
          <w:szCs w:val="32"/>
          <w:lang w:val="zh-CN"/>
        </w:rPr>
        <w:t>人民法院执行生效裁判文书、办理强制清算以及破产案件时，税务机关应当依法征收相关税</w:t>
      </w:r>
      <w:r>
        <w:rPr>
          <w:rFonts w:hint="eastAsia" w:ascii="仿宋_GB2312" w:eastAsia="仿宋_GB2312"/>
          <w:sz w:val="32"/>
          <w:szCs w:val="32"/>
        </w:rPr>
        <w:t>款</w:t>
      </w:r>
      <w:r>
        <w:rPr>
          <w:rFonts w:hint="eastAsia" w:ascii="仿宋_GB2312" w:eastAsia="仿宋_GB2312"/>
          <w:sz w:val="32"/>
          <w:szCs w:val="32"/>
          <w:lang w:val="zh-CN"/>
        </w:rPr>
        <w:t>。</w:t>
      </w:r>
    </w:p>
    <w:p>
      <w:pPr>
        <w:pStyle w:val="7"/>
        <w:keepNext w:val="0"/>
        <w:keepLines w:val="0"/>
        <w:pageBreakBefore w:val="0"/>
        <w:widowControl w:val="0"/>
        <w:kinsoku/>
        <w:wordWrap/>
        <w:overflowPunct/>
        <w:topLinePunct w:val="0"/>
        <w:autoSpaceDE/>
        <w:autoSpaceDN/>
        <w:bidi w:val="0"/>
        <w:snapToGrid w:val="0"/>
        <w:spacing w:line="560" w:lineRule="exact"/>
        <w:ind w:left="0"/>
        <w:jc w:val="both"/>
        <w:outlineLvl w:val="9"/>
        <w:rPr>
          <w:rFonts w:ascii="仿宋_GB2312" w:eastAsia="仿宋_GB2312"/>
          <w:sz w:val="32"/>
          <w:szCs w:val="32"/>
          <w:lang w:val="zh-CN"/>
        </w:rPr>
      </w:pPr>
    </w:p>
    <w:p>
      <w:pPr>
        <w:pStyle w:val="7"/>
        <w:keepNext w:val="0"/>
        <w:keepLines w:val="0"/>
        <w:pageBreakBefore w:val="0"/>
        <w:widowControl w:val="0"/>
        <w:kinsoku/>
        <w:wordWrap/>
        <w:overflowPunct/>
        <w:topLinePunct w:val="0"/>
        <w:autoSpaceDE/>
        <w:autoSpaceDN/>
        <w:bidi w:val="0"/>
        <w:snapToGrid w:val="0"/>
        <w:spacing w:line="560" w:lineRule="exact"/>
        <w:ind w:left="0"/>
        <w:jc w:val="center"/>
        <w:outlineLvl w:val="9"/>
        <w:rPr>
          <w:rFonts w:ascii="黑体" w:hAnsi="黑体" w:eastAsia="黑体"/>
          <w:sz w:val="32"/>
          <w:szCs w:val="32"/>
        </w:rPr>
      </w:pPr>
      <w:r>
        <w:rPr>
          <w:rFonts w:hint="eastAsia" w:ascii="黑体" w:hAnsi="黑体" w:eastAsia="黑体"/>
          <w:sz w:val="32"/>
          <w:szCs w:val="32"/>
        </w:rPr>
        <w:t xml:space="preserve">第四章 </w:t>
      </w:r>
      <w:r>
        <w:rPr>
          <w:rFonts w:ascii="黑体" w:hAnsi="黑体" w:eastAsia="黑体"/>
          <w:sz w:val="32"/>
          <w:szCs w:val="32"/>
        </w:rPr>
        <w:t xml:space="preserve"> </w:t>
      </w:r>
      <w:r>
        <w:rPr>
          <w:rFonts w:hint="eastAsia" w:ascii="黑体" w:hAnsi="黑体" w:eastAsia="黑体"/>
          <w:sz w:val="32"/>
          <w:szCs w:val="32"/>
        </w:rPr>
        <w:t>监督管理</w:t>
      </w:r>
    </w:p>
    <w:p>
      <w:pPr>
        <w:pStyle w:val="7"/>
        <w:keepNext w:val="0"/>
        <w:keepLines w:val="0"/>
        <w:pageBreakBefore w:val="0"/>
        <w:widowControl w:val="0"/>
        <w:kinsoku/>
        <w:wordWrap/>
        <w:overflowPunct/>
        <w:topLinePunct w:val="0"/>
        <w:autoSpaceDE/>
        <w:autoSpaceDN/>
        <w:bidi w:val="0"/>
        <w:snapToGrid w:val="0"/>
        <w:spacing w:line="560" w:lineRule="exact"/>
        <w:ind w:left="0"/>
        <w:jc w:val="both"/>
        <w:outlineLvl w:val="9"/>
        <w:rPr>
          <w:rFonts w:ascii="黑体" w:hAnsi="黑体" w:eastAsia="黑体"/>
          <w:sz w:val="32"/>
          <w:szCs w:val="32"/>
          <w:lang w:val="zh-CN"/>
        </w:rPr>
      </w:pP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黑体" w:hAnsi="黑体" w:eastAsia="黑体"/>
          <w:sz w:val="32"/>
          <w:szCs w:val="32"/>
          <w:lang w:val="zh-CN"/>
        </w:rPr>
        <w:t>第二十七条</w:t>
      </w:r>
      <w:r>
        <w:rPr>
          <w:rFonts w:hint="eastAsia" w:ascii="仿宋_GB2312" w:eastAsia="仿宋_GB2312"/>
          <w:sz w:val="32"/>
          <w:szCs w:val="32"/>
          <w:lang w:val="zh-CN"/>
        </w:rPr>
        <w:t>（</w:t>
      </w:r>
      <w:r>
        <w:rPr>
          <w:rFonts w:hint="eastAsia" w:ascii="仿宋_GB2312" w:eastAsia="仿宋_GB2312"/>
          <w:sz w:val="32"/>
          <w:szCs w:val="32"/>
        </w:rPr>
        <w:t>税费征收</w:t>
      </w:r>
      <w:r>
        <w:rPr>
          <w:rFonts w:hint="eastAsia" w:ascii="仿宋_GB2312" w:eastAsia="仿宋_GB2312"/>
          <w:sz w:val="32"/>
          <w:szCs w:val="32"/>
          <w:lang w:val="zh-CN"/>
        </w:rPr>
        <w:t>风险管理）</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hint="eastAsia" w:ascii="仿宋_GB2312" w:eastAsia="仿宋_GB2312"/>
          <w:sz w:val="32"/>
          <w:szCs w:val="32"/>
          <w:shd w:val="clear" w:color="auto" w:fill="FEFEFE"/>
          <w:lang w:val="zh-CN"/>
        </w:rPr>
      </w:pPr>
      <w:r>
        <w:rPr>
          <w:rFonts w:hint="eastAsia" w:ascii="仿宋_GB2312" w:eastAsia="仿宋_GB2312"/>
          <w:sz w:val="32"/>
          <w:szCs w:val="32"/>
          <w:shd w:val="clear" w:color="auto" w:fill="FEFEFE"/>
          <w:lang w:val="zh-CN"/>
        </w:rPr>
        <w:t>税务机关应当建立税费征收风险管控机制，</w:t>
      </w:r>
      <w:r>
        <w:rPr>
          <w:rFonts w:hint="eastAsia" w:ascii="仿宋_GB2312" w:eastAsia="仿宋_GB2312"/>
          <w:sz w:val="32"/>
          <w:szCs w:val="32"/>
          <w:shd w:val="clear" w:color="auto" w:fill="FEFEFE"/>
        </w:rPr>
        <w:t>根据税务登记、纳税申报、财务会计、资料备案等信息，</w:t>
      </w:r>
      <w:r>
        <w:rPr>
          <w:rFonts w:hint="eastAsia" w:ascii="仿宋_GB2312" w:eastAsia="仿宋_GB2312"/>
          <w:sz w:val="32"/>
          <w:szCs w:val="32"/>
          <w:shd w:val="clear" w:color="auto" w:fill="FEFEFE"/>
          <w:lang w:val="zh-CN"/>
        </w:rPr>
        <w:t>运用大数据分析</w:t>
      </w:r>
      <w:r>
        <w:rPr>
          <w:rFonts w:hint="eastAsia" w:ascii="仿宋_GB2312" w:eastAsia="仿宋_GB2312"/>
          <w:sz w:val="32"/>
          <w:szCs w:val="32"/>
          <w:shd w:val="clear" w:color="auto" w:fill="FEFEFE"/>
        </w:rPr>
        <w:t>纳税缴费风险情况</w:t>
      </w:r>
      <w:r>
        <w:rPr>
          <w:rFonts w:hint="eastAsia" w:ascii="仿宋_GB2312" w:eastAsia="仿宋_GB2312"/>
          <w:sz w:val="32"/>
          <w:szCs w:val="32"/>
          <w:shd w:val="clear" w:color="auto" w:fill="FEFEFE"/>
          <w:lang w:val="zh-CN"/>
        </w:rPr>
        <w:t>，针对纳税人、缴费人不同类型不同等级的税费征收风险，分别采取提示、评估、稽查等措施，防范税费征收风险。</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黑体" w:hAnsi="黑体" w:eastAsia="黑体"/>
          <w:sz w:val="32"/>
          <w:szCs w:val="32"/>
          <w:lang w:val="zh-CN"/>
        </w:rPr>
        <w:t>第二十八条</w:t>
      </w:r>
      <w:r>
        <w:rPr>
          <w:rFonts w:hint="eastAsia" w:ascii="仿宋_GB2312" w:eastAsia="仿宋_GB2312"/>
          <w:sz w:val="32"/>
          <w:szCs w:val="32"/>
          <w:lang w:val="zh-CN"/>
        </w:rPr>
        <w:t>（信用监管）</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hAnsi="Times" w:eastAsia="仿宋_GB2312" w:cs="Times"/>
          <w:sz w:val="32"/>
          <w:szCs w:val="32"/>
        </w:rPr>
      </w:pPr>
      <w:r>
        <w:rPr>
          <w:rFonts w:hint="eastAsia" w:ascii="仿宋_GB2312" w:eastAsia="仿宋_GB2312"/>
          <w:sz w:val="32"/>
          <w:szCs w:val="32"/>
          <w:lang w:val="zh-CN"/>
        </w:rPr>
        <w:t>税务机关应当按照国家和本市有关规定，对纳税信用信息进行归集</w:t>
      </w:r>
      <w:r>
        <w:rPr>
          <w:rFonts w:hint="eastAsia" w:ascii="仿宋_GB2312" w:eastAsia="仿宋_GB2312"/>
          <w:sz w:val="32"/>
          <w:szCs w:val="32"/>
        </w:rPr>
        <w:t>、</w:t>
      </w:r>
      <w:r>
        <w:rPr>
          <w:rFonts w:hint="eastAsia" w:ascii="仿宋_GB2312" w:eastAsia="仿宋_GB2312"/>
          <w:sz w:val="32"/>
          <w:szCs w:val="32"/>
          <w:lang w:val="zh-CN"/>
        </w:rPr>
        <w:t>披露</w:t>
      </w:r>
      <w:r>
        <w:rPr>
          <w:rFonts w:hint="eastAsia" w:ascii="仿宋_GB2312" w:eastAsia="仿宋_GB2312"/>
          <w:sz w:val="32"/>
          <w:szCs w:val="32"/>
        </w:rPr>
        <w:t>、</w:t>
      </w:r>
      <w:r>
        <w:rPr>
          <w:rFonts w:hint="eastAsia" w:ascii="仿宋_GB2312" w:eastAsia="仿宋_GB2312"/>
          <w:sz w:val="32"/>
          <w:szCs w:val="32"/>
          <w:lang w:val="zh-CN"/>
        </w:rPr>
        <w:t>使用和管理，建立纳税人信用档案，推</w:t>
      </w:r>
      <w:r>
        <w:rPr>
          <w:rFonts w:hint="eastAsia" w:ascii="仿宋_GB2312" w:eastAsia="仿宋_GB2312"/>
          <w:sz w:val="32"/>
          <w:szCs w:val="32"/>
        </w:rPr>
        <w:t>进</w:t>
      </w:r>
      <w:r>
        <w:rPr>
          <w:rFonts w:hint="eastAsia" w:ascii="仿宋_GB2312" w:eastAsia="仿宋_GB2312"/>
          <w:sz w:val="32"/>
          <w:szCs w:val="32"/>
          <w:lang w:val="zh-CN"/>
        </w:rPr>
        <w:t>动态信用监管</w:t>
      </w:r>
      <w:r>
        <w:rPr>
          <w:rFonts w:hint="eastAsia" w:ascii="仿宋_GB2312" w:eastAsia="仿宋_GB2312"/>
          <w:sz w:val="32"/>
          <w:szCs w:val="32"/>
        </w:rPr>
        <w:t>。</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rPr>
      </w:pPr>
      <w:r>
        <w:rPr>
          <w:rFonts w:hint="eastAsia" w:ascii="仿宋_GB2312" w:eastAsia="仿宋_GB2312"/>
          <w:sz w:val="32"/>
          <w:szCs w:val="32"/>
          <w:lang w:val="zh-CN"/>
        </w:rPr>
        <w:t>税务机关按照纳税信用管理相关规定，向纳税人推送纳税信用评价扣分指标明细，引导纳税人及时、主动纠正失信行为；对在规定期限内纠正失信行为、消除不良影响的，</w:t>
      </w:r>
      <w:r>
        <w:rPr>
          <w:rFonts w:hint="eastAsia" w:ascii="仿宋_GB2312" w:eastAsia="仿宋_GB2312"/>
          <w:sz w:val="32"/>
          <w:szCs w:val="32"/>
        </w:rPr>
        <w:t>税务机关应当及时完成信用修复。</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黑体" w:hAnsi="黑体" w:eastAsia="黑体"/>
          <w:sz w:val="32"/>
          <w:szCs w:val="32"/>
          <w:lang w:val="zh-CN"/>
        </w:rPr>
        <w:t>第二</w:t>
      </w:r>
      <w:r>
        <w:rPr>
          <w:rFonts w:hint="eastAsia" w:ascii="黑体" w:hAnsi="黑体" w:eastAsia="黑体"/>
          <w:sz w:val="32"/>
          <w:szCs w:val="32"/>
        </w:rPr>
        <w:t>十九</w:t>
      </w:r>
      <w:r>
        <w:rPr>
          <w:rFonts w:hint="eastAsia" w:ascii="黑体" w:hAnsi="黑体" w:eastAsia="黑体"/>
          <w:sz w:val="32"/>
          <w:szCs w:val="32"/>
          <w:lang w:val="zh-CN"/>
        </w:rPr>
        <w:t>条</w:t>
      </w:r>
      <w:r>
        <w:rPr>
          <w:rFonts w:hint="eastAsia" w:ascii="仿宋_GB2312" w:eastAsia="仿宋_GB2312"/>
          <w:sz w:val="32"/>
          <w:szCs w:val="32"/>
          <w:lang w:val="zh-CN"/>
        </w:rPr>
        <w:t>（</w:t>
      </w:r>
      <w:r>
        <w:rPr>
          <w:rFonts w:hint="eastAsia" w:ascii="仿宋_GB2312" w:eastAsia="仿宋_GB2312"/>
          <w:sz w:val="32"/>
          <w:szCs w:val="32"/>
        </w:rPr>
        <w:t>投诉</w:t>
      </w:r>
      <w:r>
        <w:rPr>
          <w:rFonts w:hint="eastAsia" w:ascii="仿宋_GB2312" w:eastAsia="仿宋_GB2312"/>
          <w:sz w:val="32"/>
          <w:szCs w:val="32"/>
          <w:lang w:val="zh-CN"/>
        </w:rPr>
        <w:t>举报）</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rPr>
      </w:pPr>
      <w:r>
        <w:rPr>
          <w:rFonts w:hint="eastAsia" w:ascii="仿宋_GB2312" w:eastAsia="仿宋_GB2312"/>
          <w:sz w:val="32"/>
          <w:szCs w:val="32"/>
        </w:rPr>
        <w:t>任何单位或者个人</w:t>
      </w:r>
      <w:r>
        <w:rPr>
          <w:rFonts w:hint="eastAsia" w:ascii="仿宋_GB2312" w:eastAsia="仿宋_GB2312"/>
          <w:sz w:val="32"/>
          <w:szCs w:val="32"/>
          <w:lang w:val="zh-CN"/>
        </w:rPr>
        <w:t>发现涉税涉费违法行为的，</w:t>
      </w:r>
      <w:r>
        <w:rPr>
          <w:rFonts w:hint="eastAsia" w:ascii="仿宋_GB2312" w:eastAsia="仿宋_GB2312"/>
          <w:sz w:val="32"/>
          <w:szCs w:val="32"/>
        </w:rPr>
        <w:t>有权进行投诉、举报。</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hint="eastAsia" w:ascii="仿宋_GB2312" w:eastAsia="仿宋_GB2312"/>
          <w:sz w:val="32"/>
          <w:szCs w:val="32"/>
        </w:rPr>
      </w:pPr>
      <w:r>
        <w:rPr>
          <w:rFonts w:hint="eastAsia" w:ascii="仿宋_GB2312" w:eastAsia="仿宋_GB2312"/>
          <w:sz w:val="32"/>
          <w:szCs w:val="32"/>
        </w:rPr>
        <w:t>税务机关和</w:t>
      </w:r>
      <w:r>
        <w:rPr>
          <w:rFonts w:hint="eastAsia" w:ascii="仿宋_GB2312" w:eastAsia="仿宋_GB2312"/>
          <w:sz w:val="32"/>
          <w:szCs w:val="32"/>
          <w:lang w:val="zh-CN"/>
        </w:rPr>
        <w:t>人力资源社会保障、医保</w:t>
      </w:r>
      <w:r>
        <w:rPr>
          <w:rFonts w:hint="eastAsia" w:ascii="仿宋_GB2312" w:eastAsia="仿宋_GB2312"/>
          <w:sz w:val="32"/>
          <w:szCs w:val="32"/>
        </w:rPr>
        <w:t>等部门以及非税收入相关部门收到涉及社会保险费、政府非税收入征收的投诉、举报，属于本部门处理范围的，应当及时依法处理并答复投诉人；属于其他部门处理范围的，应当及时转送有权处理的部门并告知投诉人。收到转送材料的部门应当及时处理。</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黑体" w:hAnsi="黑体" w:eastAsia="黑体"/>
          <w:sz w:val="32"/>
          <w:szCs w:val="32"/>
          <w:lang w:val="zh-CN"/>
        </w:rPr>
        <w:t>第三十条</w:t>
      </w:r>
      <w:r>
        <w:rPr>
          <w:rFonts w:hint="eastAsia" w:ascii="仿宋_GB2312" w:eastAsia="仿宋_GB2312"/>
          <w:sz w:val="32"/>
          <w:szCs w:val="32"/>
          <w:lang w:val="zh-CN"/>
        </w:rPr>
        <w:t>（争议解决机制）</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rPr>
      </w:pPr>
      <w:r>
        <w:rPr>
          <w:rFonts w:hint="eastAsia" w:ascii="仿宋_GB2312" w:eastAsia="仿宋_GB2312"/>
          <w:sz w:val="32"/>
          <w:szCs w:val="32"/>
          <w:lang w:val="zh-CN"/>
        </w:rPr>
        <w:t>税务机关应当</w:t>
      </w:r>
      <w:r>
        <w:rPr>
          <w:rFonts w:hint="eastAsia" w:ascii="仿宋_GB2312" w:eastAsia="仿宋_GB2312"/>
          <w:sz w:val="32"/>
          <w:szCs w:val="32"/>
        </w:rPr>
        <w:t>会同</w:t>
      </w:r>
      <w:r>
        <w:rPr>
          <w:rFonts w:hint="eastAsia" w:ascii="仿宋_GB2312" w:eastAsia="仿宋_GB2312"/>
          <w:sz w:val="32"/>
          <w:szCs w:val="32"/>
          <w:lang w:val="zh-CN"/>
        </w:rPr>
        <w:t>人力资源社会保障、医保、规划资源、房屋管理、生态环境</w:t>
      </w:r>
      <w:r>
        <w:rPr>
          <w:rFonts w:hint="eastAsia" w:ascii="仿宋_GB2312" w:eastAsia="仿宋_GB2312"/>
          <w:sz w:val="32"/>
          <w:szCs w:val="32"/>
        </w:rPr>
        <w:t>等部门</w:t>
      </w:r>
      <w:r>
        <w:rPr>
          <w:rFonts w:hint="eastAsia" w:ascii="仿宋_GB2312" w:eastAsia="仿宋_GB2312"/>
          <w:sz w:val="32"/>
          <w:szCs w:val="32"/>
          <w:lang w:val="zh-CN"/>
        </w:rPr>
        <w:t>建立健全涉税涉费争议解决机制，依法保障纳税人、缴费人的合法权益。</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hint="eastAsia" w:ascii="仿宋_GB2312" w:eastAsia="仿宋_GB2312"/>
          <w:sz w:val="32"/>
          <w:szCs w:val="32"/>
          <w:lang w:val="zh-CN"/>
        </w:rPr>
      </w:pPr>
      <w:r>
        <w:rPr>
          <w:rFonts w:hint="eastAsia" w:ascii="仿宋_GB2312" w:eastAsia="仿宋_GB2312"/>
          <w:sz w:val="32"/>
          <w:szCs w:val="32"/>
          <w:lang w:val="zh-CN"/>
        </w:rPr>
        <w:t>税务机关和相关</w:t>
      </w:r>
      <w:r>
        <w:rPr>
          <w:rFonts w:hint="eastAsia" w:ascii="仿宋_GB2312" w:eastAsia="仿宋_GB2312"/>
          <w:sz w:val="32"/>
          <w:szCs w:val="32"/>
        </w:rPr>
        <w:t>部门处理</w:t>
      </w:r>
      <w:r>
        <w:rPr>
          <w:rFonts w:hint="eastAsia" w:ascii="仿宋_GB2312" w:eastAsia="仿宋_GB2312"/>
          <w:sz w:val="32"/>
          <w:szCs w:val="32"/>
          <w:lang w:val="zh-CN"/>
        </w:rPr>
        <w:t>涉税涉费争议时，需要</w:t>
      </w:r>
      <w:r>
        <w:rPr>
          <w:rFonts w:hint="eastAsia" w:ascii="仿宋_GB2312" w:eastAsia="仿宋_GB2312"/>
          <w:sz w:val="32"/>
          <w:szCs w:val="32"/>
        </w:rPr>
        <w:t>乡镇人民政府、街道办事处、经济园区管理机构等协助的，乡镇人民政府、街道办事处、经济园区管理机构应当予以协助</w:t>
      </w:r>
      <w:r>
        <w:rPr>
          <w:rFonts w:hint="eastAsia" w:ascii="仿宋_GB2312" w:eastAsia="仿宋_GB2312"/>
          <w:sz w:val="32"/>
          <w:szCs w:val="32"/>
          <w:lang w:val="zh-CN"/>
        </w:rPr>
        <w:t>。</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黑体" w:hAnsi="黑体" w:eastAsia="黑体"/>
          <w:sz w:val="32"/>
          <w:szCs w:val="32"/>
          <w:lang w:val="zh-CN"/>
        </w:rPr>
        <w:t>第三十一条</w:t>
      </w:r>
      <w:r>
        <w:rPr>
          <w:rFonts w:hint="eastAsia" w:ascii="仿宋_GB2312" w:eastAsia="仿宋_GB2312"/>
          <w:sz w:val="32"/>
          <w:szCs w:val="32"/>
          <w:lang w:val="zh-CN"/>
        </w:rPr>
        <w:t>（行刑衔接）</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shd w:val="clear" w:color="auto" w:fill="FEFEFE"/>
        </w:rPr>
      </w:pPr>
      <w:r>
        <w:rPr>
          <w:rFonts w:hint="eastAsia" w:ascii="仿宋_GB2312" w:eastAsia="仿宋_GB2312"/>
          <w:sz w:val="32"/>
          <w:szCs w:val="32"/>
          <w:shd w:val="clear" w:color="auto" w:fill="FEFEFE"/>
          <w:lang w:val="zh-CN"/>
        </w:rPr>
        <w:t>公安机关健全</w:t>
      </w:r>
      <w:r>
        <w:rPr>
          <w:rFonts w:hint="eastAsia" w:ascii="仿宋_GB2312" w:eastAsia="仿宋_GB2312"/>
          <w:sz w:val="32"/>
          <w:szCs w:val="32"/>
          <w:shd w:val="clear" w:color="auto" w:fill="FEFEFE"/>
        </w:rPr>
        <w:t>公安派驻税务</w:t>
      </w:r>
      <w:r>
        <w:rPr>
          <w:rFonts w:hint="eastAsia" w:ascii="仿宋_GB2312" w:eastAsia="仿宋_GB2312"/>
          <w:sz w:val="32"/>
          <w:szCs w:val="32"/>
          <w:shd w:val="clear" w:color="auto" w:fill="FEFEFE"/>
          <w:lang w:val="zh-CN"/>
        </w:rPr>
        <w:t>联络机制，</w:t>
      </w:r>
      <w:r>
        <w:rPr>
          <w:rFonts w:hint="eastAsia" w:ascii="仿宋_GB2312" w:eastAsia="仿宋_GB2312"/>
          <w:sz w:val="32"/>
          <w:szCs w:val="32"/>
          <w:shd w:val="clear" w:color="auto" w:fill="FEFEFE"/>
        </w:rPr>
        <w:t>实行警税联合办案</w:t>
      </w:r>
      <w:r>
        <w:rPr>
          <w:rFonts w:hint="eastAsia" w:ascii="仿宋_GB2312" w:eastAsia="仿宋_GB2312"/>
          <w:sz w:val="32"/>
          <w:szCs w:val="32"/>
          <w:shd w:val="clear" w:color="auto" w:fill="FEFEFE"/>
          <w:lang w:val="zh-CN"/>
        </w:rPr>
        <w:t>。税务机关发现逃税、骗税、抗税、虚开发票、逃避追缴欠税等违法行为涉嫌犯罪的，应当依法移交公安机关。公安机关应当将办理情况及时反馈税务机关。</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hint="eastAsia" w:ascii="仿宋_GB2312" w:eastAsia="仿宋_GB2312"/>
          <w:sz w:val="32"/>
          <w:szCs w:val="32"/>
          <w:lang w:val="zh-CN"/>
        </w:rPr>
      </w:pPr>
      <w:r>
        <w:rPr>
          <w:rFonts w:hint="eastAsia" w:ascii="仿宋_GB2312" w:eastAsia="仿宋_GB2312"/>
          <w:sz w:val="32"/>
          <w:szCs w:val="32"/>
          <w:shd w:val="clear" w:color="auto" w:fill="FEFEFE"/>
          <w:lang w:val="zh-CN"/>
        </w:rPr>
        <w:t>人民检察院就决定不起诉的案件向税务机关提出检察意见的，税务机关应当依法处理并将处理结果或者办理情况回复人民检察院。</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hAnsi="仿宋_GB2312" w:eastAsia="仿宋_GB2312" w:cs="仿宋_GB2312"/>
          <w:sz w:val="32"/>
          <w:szCs w:val="32"/>
        </w:rPr>
      </w:pPr>
      <w:r>
        <w:rPr>
          <w:rFonts w:hint="eastAsia" w:ascii="黑体" w:hAnsi="黑体" w:eastAsia="黑体"/>
          <w:sz w:val="32"/>
          <w:szCs w:val="32"/>
          <w:lang w:val="zh-CN"/>
        </w:rPr>
        <w:t>第</w:t>
      </w:r>
      <w:r>
        <w:rPr>
          <w:rFonts w:hint="eastAsia" w:ascii="黑体" w:hAnsi="黑体" w:eastAsia="黑体"/>
          <w:sz w:val="32"/>
          <w:szCs w:val="32"/>
        </w:rPr>
        <w:t>三十二</w:t>
      </w:r>
      <w:r>
        <w:rPr>
          <w:rFonts w:hint="eastAsia" w:ascii="黑体" w:hAnsi="黑体" w:eastAsia="黑体"/>
          <w:sz w:val="32"/>
          <w:szCs w:val="32"/>
          <w:lang w:val="zh-CN"/>
        </w:rPr>
        <w:t>条</w:t>
      </w:r>
      <w:r>
        <w:rPr>
          <w:rFonts w:hint="eastAsia" w:ascii="仿宋_GB2312" w:hAnsi="仿宋_GB2312" w:eastAsia="仿宋_GB2312" w:cs="仿宋_GB2312"/>
          <w:sz w:val="32"/>
          <w:szCs w:val="32"/>
        </w:rPr>
        <w:t>（社会监督）</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ascii="仿宋_GB2312" w:eastAsia="仿宋_GB2312"/>
          <w:sz w:val="32"/>
          <w:szCs w:val="32"/>
          <w:lang w:val="zh-CN"/>
        </w:rPr>
      </w:pPr>
      <w:r>
        <w:rPr>
          <w:rFonts w:hint="eastAsia" w:ascii="仿宋_GB2312" w:hAnsi="仿宋_GB2312" w:eastAsia="仿宋_GB2312" w:cs="仿宋_GB2312"/>
          <w:sz w:val="32"/>
          <w:szCs w:val="32"/>
        </w:rPr>
        <w:t>税务机关和相关部门、单位应当主动接受企业事业单位、社会组织、个人和新闻媒体对税费征收服务和保障工作的监督。</w:t>
      </w:r>
    </w:p>
    <w:p>
      <w:pPr>
        <w:pStyle w:val="7"/>
        <w:keepNext w:val="0"/>
        <w:keepLines w:val="0"/>
        <w:pageBreakBefore w:val="0"/>
        <w:widowControl w:val="0"/>
        <w:kinsoku/>
        <w:wordWrap/>
        <w:overflowPunct/>
        <w:topLinePunct w:val="0"/>
        <w:autoSpaceDE/>
        <w:autoSpaceDN/>
        <w:bidi w:val="0"/>
        <w:snapToGrid w:val="0"/>
        <w:spacing w:line="560" w:lineRule="exact"/>
        <w:ind w:left="0"/>
        <w:jc w:val="both"/>
        <w:outlineLvl w:val="9"/>
        <w:rPr>
          <w:rFonts w:ascii="黑体" w:hAnsi="黑体" w:eastAsia="黑体"/>
          <w:sz w:val="32"/>
          <w:szCs w:val="32"/>
        </w:rPr>
      </w:pPr>
    </w:p>
    <w:p>
      <w:pPr>
        <w:pStyle w:val="7"/>
        <w:keepNext w:val="0"/>
        <w:keepLines w:val="0"/>
        <w:pageBreakBefore w:val="0"/>
        <w:widowControl w:val="0"/>
        <w:kinsoku/>
        <w:wordWrap/>
        <w:overflowPunct/>
        <w:topLinePunct w:val="0"/>
        <w:autoSpaceDE/>
        <w:autoSpaceDN/>
        <w:bidi w:val="0"/>
        <w:snapToGrid w:val="0"/>
        <w:spacing w:line="560" w:lineRule="exact"/>
        <w:ind w:left="0"/>
        <w:jc w:val="center"/>
        <w:outlineLvl w:val="9"/>
        <w:rPr>
          <w:rFonts w:ascii="黑体" w:hAnsi="黑体" w:eastAsia="黑体"/>
          <w:sz w:val="32"/>
          <w:szCs w:val="32"/>
        </w:rPr>
      </w:pPr>
      <w:r>
        <w:rPr>
          <w:rFonts w:hint="eastAsia" w:ascii="黑体" w:hAnsi="黑体" w:eastAsia="黑体"/>
          <w:sz w:val="32"/>
          <w:szCs w:val="32"/>
        </w:rPr>
        <w:t>第五章  附</w:t>
      </w:r>
      <w:r>
        <w:rPr>
          <w:rFonts w:hint="eastAsia" w:ascii="黑体" w:hAnsi="黑体" w:eastAsia="黑体"/>
          <w:sz w:val="32"/>
          <w:szCs w:val="32"/>
          <w:lang w:val="en-US" w:eastAsia="zh-CN"/>
        </w:rPr>
        <w:t xml:space="preserve"> </w:t>
      </w:r>
      <w:r>
        <w:rPr>
          <w:rFonts w:hint="eastAsia" w:ascii="黑体" w:hAnsi="黑体" w:eastAsia="黑体"/>
          <w:sz w:val="32"/>
          <w:szCs w:val="32"/>
        </w:rPr>
        <w:t>则</w:t>
      </w:r>
    </w:p>
    <w:p>
      <w:pPr>
        <w:pStyle w:val="7"/>
        <w:keepNext w:val="0"/>
        <w:keepLines w:val="0"/>
        <w:pageBreakBefore w:val="0"/>
        <w:widowControl w:val="0"/>
        <w:kinsoku/>
        <w:wordWrap/>
        <w:overflowPunct/>
        <w:topLinePunct w:val="0"/>
        <w:autoSpaceDE/>
        <w:autoSpaceDN/>
        <w:bidi w:val="0"/>
        <w:snapToGrid w:val="0"/>
        <w:spacing w:line="560" w:lineRule="exact"/>
        <w:ind w:left="0"/>
        <w:jc w:val="both"/>
        <w:outlineLvl w:val="9"/>
        <w:rPr>
          <w:rFonts w:ascii="黑体" w:hAnsi="黑体" w:eastAsia="黑体"/>
          <w:sz w:val="32"/>
          <w:szCs w:val="32"/>
        </w:rPr>
      </w:pPr>
    </w:p>
    <w:p>
      <w:pPr>
        <w:pStyle w:val="7"/>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outlineLvl w:val="9"/>
        <w:rPr>
          <w:rFonts w:ascii="仿宋_GB2312" w:eastAsia="仿宋_GB2312"/>
          <w:sz w:val="32"/>
          <w:szCs w:val="32"/>
          <w:lang w:val="zh-CN"/>
        </w:rPr>
      </w:pPr>
      <w:r>
        <w:rPr>
          <w:rFonts w:hint="eastAsia" w:ascii="黑体" w:hAnsi="黑体" w:eastAsia="黑体"/>
          <w:sz w:val="32"/>
          <w:szCs w:val="32"/>
          <w:lang w:val="zh-CN"/>
        </w:rPr>
        <w:t>第三十</w:t>
      </w:r>
      <w:r>
        <w:rPr>
          <w:rFonts w:hint="eastAsia" w:ascii="黑体" w:hAnsi="黑体" w:eastAsia="黑体"/>
          <w:sz w:val="32"/>
          <w:szCs w:val="32"/>
        </w:rPr>
        <w:t>三</w:t>
      </w:r>
      <w:r>
        <w:rPr>
          <w:rFonts w:hint="eastAsia" w:ascii="黑体" w:hAnsi="黑体" w:eastAsia="黑体"/>
          <w:sz w:val="32"/>
          <w:szCs w:val="32"/>
          <w:lang w:val="zh-CN"/>
        </w:rPr>
        <w:t>条</w:t>
      </w:r>
      <w:r>
        <w:rPr>
          <w:rFonts w:hint="eastAsia" w:ascii="仿宋_GB2312" w:eastAsia="仿宋_GB2312"/>
          <w:sz w:val="32"/>
          <w:szCs w:val="32"/>
          <w:lang w:val="zh-CN"/>
        </w:rPr>
        <w:t>（施行日期）</w:t>
      </w:r>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pPr>
      <w:r>
        <w:rPr>
          <w:rFonts w:hint="eastAsia" w:ascii="仿宋_GB2312" w:eastAsia="仿宋_GB2312"/>
          <w:sz w:val="32"/>
          <w:szCs w:val="32"/>
          <w:lang w:val="zh-CN"/>
        </w:rPr>
        <w:t>本办法自</w:t>
      </w: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lang w:val="zh-TW" w:eastAsia="zh-TW"/>
        </w:rPr>
        <w:t>日起施行。</w:t>
      </w:r>
      <w:bookmarkStart w:id="0" w:name="tiao_30"/>
      <w:bookmarkEnd w:id="0"/>
      <w:bookmarkStart w:id="1" w:name="tiao_38_kuan_2"/>
      <w:bookmarkEnd w:id="1"/>
      <w:bookmarkStart w:id="2" w:name="tiao_34_kuan_1_xiang_5"/>
      <w:bookmarkEnd w:id="2"/>
      <w:bookmarkStart w:id="3" w:name="tiao_39_kuan_3"/>
      <w:bookmarkEnd w:id="3"/>
      <w:bookmarkStart w:id="4" w:name="tiao_39_kuan_2"/>
      <w:bookmarkEnd w:id="4"/>
      <w:bookmarkStart w:id="5" w:name="tiao_11_kuan_3"/>
      <w:bookmarkEnd w:id="5"/>
      <w:bookmarkStart w:id="6" w:name="tiao_34_kuan_1_xiang_4"/>
      <w:bookmarkEnd w:id="6"/>
      <w:bookmarkStart w:id="7" w:name="tiao_34_kuan_1_xiang_6"/>
      <w:bookmarkEnd w:id="7"/>
      <w:bookmarkStart w:id="8" w:name="tiao_39_kuan_4"/>
      <w:bookmarkEnd w:id="8"/>
      <w:bookmarkStart w:id="9" w:name="tiao_34_kuan_1_xiang_3"/>
      <w:bookmarkEnd w:id="9"/>
      <w:bookmarkStart w:id="10" w:name="tiao_11_kuan_4"/>
      <w:bookmarkEnd w:id="10"/>
      <w:bookmarkStart w:id="11" w:name="tiao_34_kuan_1"/>
      <w:bookmarkEnd w:id="11"/>
      <w:bookmarkStart w:id="12" w:name="tiao_31_kuan_1"/>
      <w:bookmarkEnd w:id="12"/>
      <w:bookmarkStart w:id="13" w:name="tiao_29_kuan_1"/>
      <w:bookmarkEnd w:id="13"/>
      <w:bookmarkStart w:id="14" w:name="tiao_34_kuan_1_xiang_1"/>
      <w:bookmarkEnd w:id="14"/>
      <w:bookmarkStart w:id="15" w:name="tiao_38_kuan_1"/>
      <w:bookmarkEnd w:id="15"/>
      <w:bookmarkStart w:id="16" w:name="tiao_21_kuan_1"/>
      <w:bookmarkEnd w:id="16"/>
      <w:bookmarkStart w:id="17" w:name="tiao_56_kuan_4"/>
      <w:bookmarkEnd w:id="17"/>
      <w:bookmarkStart w:id="18" w:name="content"/>
      <w:bookmarkEnd w:id="18"/>
      <w:bookmarkStart w:id="19" w:name="tiao_34_kuan_2"/>
      <w:bookmarkEnd w:id="19"/>
      <w:bookmarkStart w:id="20" w:name="tiao_56_kuan_2"/>
      <w:bookmarkEnd w:id="20"/>
      <w:bookmarkStart w:id="21" w:name="tiao_56_kuan_1"/>
      <w:bookmarkEnd w:id="21"/>
      <w:bookmarkStart w:id="22" w:name="tiao_56_kuan_5"/>
      <w:bookmarkEnd w:id="22"/>
      <w:bookmarkStart w:id="23" w:name="tiao_56_kuan_3"/>
      <w:bookmarkEnd w:id="23"/>
      <w:bookmarkStart w:id="24" w:name="tiao_36_kuan_1"/>
      <w:bookmarkEnd w:id="24"/>
      <w:bookmarkStart w:id="25" w:name="tiao_54_kuan_1"/>
      <w:bookmarkEnd w:id="25"/>
      <w:bookmarkStart w:id="26" w:name="tiao_29_kuan_2"/>
      <w:bookmarkEnd w:id="26"/>
      <w:bookmarkStart w:id="27" w:name="tiao_39_kuan_1"/>
      <w:bookmarkEnd w:id="27"/>
      <w:bookmarkStart w:id="28" w:name="tiao_34_kuan_1_xiang_2"/>
      <w:bookmarkEnd w:id="28"/>
      <w:bookmarkStart w:id="29" w:name="tiao_30_kuan_1"/>
      <w:bookmarkEnd w:id="29"/>
    </w:p>
    <w:p>
      <w:pPr>
        <w:pStyle w:val="7"/>
        <w:keepNext w:val="0"/>
        <w:keepLines w:val="0"/>
        <w:pageBreakBefore w:val="0"/>
        <w:widowControl w:val="0"/>
        <w:kinsoku/>
        <w:wordWrap/>
        <w:overflowPunct/>
        <w:topLinePunct w:val="0"/>
        <w:autoSpaceDE/>
        <w:autoSpaceDN/>
        <w:bidi w:val="0"/>
        <w:snapToGrid w:val="0"/>
        <w:spacing w:line="560" w:lineRule="exact"/>
        <w:ind w:left="0" w:firstLine="640"/>
        <w:jc w:val="both"/>
        <w:outlineLvl w:val="9"/>
        <w:rPr>
          <w:rFonts w:hint="eastAsia" w:ascii="仿宋_GB2312" w:eastAsia="仿宋_GB2312"/>
          <w:sz w:val="32"/>
          <w:szCs w:val="32"/>
          <w:lang w:val="zh-CN"/>
        </w:rPr>
      </w:pPr>
    </w:p>
    <w:p/>
    <w:p>
      <w:pPr>
        <w:ind w:firstLine="640" w:firstLineChars="200"/>
        <w:rPr>
          <w:rFonts w:ascii="仿宋_GB2312" w:hAnsi="仿宋_GB2312" w:eastAsia="仿宋_GB2312" w:cs="仿宋_GB2312"/>
          <w:color w:val="333333"/>
          <w:sz w:val="32"/>
          <w:szCs w:val="32"/>
          <w:shd w:val="clear" w:color="auto" w:fill="FFFFFF"/>
        </w:rPr>
      </w:pPr>
    </w:p>
    <w:p>
      <w:bookmarkStart w:id="30" w:name="_GoBack"/>
      <w:bookmarkEnd w:id="3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Helvetica">
    <w:altName w:val="DejaVu Sans"/>
    <w:panose1 w:val="020B0604020202020204"/>
    <w:charset w:val="00"/>
    <w:family w:val="swiss"/>
    <w:pitch w:val="default"/>
    <w:sig w:usb0="00000000" w:usb1="00000000" w:usb2="00000000" w:usb3="00000000" w:csb0="00000001" w:csb1="00000000"/>
  </w:font>
  <w:font w:name="Arial Unicode MS">
    <w:altName w:val="DejaVu Sans"/>
    <w:panose1 w:val="020B0604020202020204"/>
    <w:charset w:val="00"/>
    <w:family w:val="roman"/>
    <w:pitch w:val="default"/>
    <w:sig w:usb0="00000000" w:usb1="00000000" w:usb2="00000000" w:usb3="00000000" w:csb0="00000001" w:csb1="00000000"/>
  </w:font>
  <w:font w:name="等线">
    <w:altName w:val="汉仪中圆B5"/>
    <w:panose1 w:val="02010600030101010101"/>
    <w:charset w:val="00"/>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F3F33BE"/>
    <w:rsid w:val="8F3F3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suppressAutoHyphens/>
      <w:ind w:firstLine="480" w:firstLineChars="200"/>
      <w:jc w:val="both"/>
    </w:pPr>
    <w:rPr>
      <w:rFonts w:ascii="Calibri" w:hAnsi="Calibri" w:eastAsia="宋体" w:cs="宋体"/>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默认"/>
    <w:qFormat/>
    <w:uiPriority w:val="0"/>
    <w:rPr>
      <w:rFonts w:ascii="Helvetica" w:hAnsi="Arial Unicode MS" w:eastAsia="Arial Unicode MS" w:cs="Arial Unicode MS"/>
      <w:color w:val="000000"/>
      <w:sz w:val="22"/>
      <w:szCs w:val="22"/>
      <w:lang w:val="en-US" w:eastAsia="zh-CN" w:bidi="ar-SA"/>
    </w:rPr>
  </w:style>
  <w:style w:type="paragraph" w:customStyle="1" w:styleId="8">
    <w:name w:val="div"/>
    <w:basedOn w:val="1"/>
    <w:qFormat/>
    <w:uiPriority w:val="0"/>
    <w:pPr>
      <w:textAlignment w:val="baseline"/>
    </w:pPr>
    <w:rPr>
      <w:rFonts w:eastAsia="等线"/>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2024-12-26T14:56:00Z</dcterms:created>
  <dc:creator>user</dc:creator>
  <cp:lastModifiedBy>user</cp:lastModifiedBy>
  <dcterms:modified xsi:type="dcterms:W3CDTF">2024-12-26T14:57:19Z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