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b w:val="0"/>
          <w:bCs/>
          <w:color w:val="000000"/>
          <w:sz w:val="44"/>
          <w:szCs w:val="44"/>
          <w:highlight w:val="none"/>
        </w:rPr>
      </w:pPr>
      <w:bookmarkStart w:id="0" w:name="_Toc24569"/>
    </w:p>
    <w:p>
      <w:pPr>
        <w:pStyle w:val="2"/>
        <w:rPr>
          <w:b w:val="0"/>
          <w:bCs/>
          <w:color w:val="000000"/>
          <w:sz w:val="44"/>
          <w:szCs w:val="44"/>
          <w:highlight w:val="none"/>
        </w:rPr>
      </w:pPr>
    </w:p>
    <w:p>
      <w:pPr>
        <w:pStyle w:val="2"/>
        <w:rPr>
          <w:rFonts w:eastAsia="楷体"/>
          <w:color w:val="000000"/>
          <w:sz w:val="32"/>
          <w:szCs w:val="32"/>
          <w:highlight w:val="none"/>
        </w:rPr>
      </w:pPr>
      <w:bookmarkStart w:id="1" w:name="_GoBack"/>
      <w:r>
        <w:rPr>
          <w:b w:val="0"/>
          <w:bCs/>
          <w:color w:val="000000"/>
          <w:sz w:val="44"/>
          <w:szCs w:val="44"/>
          <w:highlight w:val="none"/>
        </w:rPr>
        <w:t>上海市城市维护建设税实施细则</w:t>
      </w:r>
      <w:bookmarkEnd w:id="1"/>
      <w:bookmarkEnd w:id="0"/>
    </w:p>
    <w:p>
      <w:pPr>
        <w:pStyle w:val="6"/>
        <w:spacing w:before="0" w:beforeAutospacing="0" w:after="0" w:afterAutospacing="0"/>
        <w:ind w:firstLine="640" w:firstLineChars="200"/>
        <w:jc w:val="both"/>
        <w:rPr>
          <w:rFonts w:hint="eastAsia" w:ascii="楷体_GB2312" w:hAnsi="楷体" w:eastAsia="楷体" w:cs="瀹嬩綋"/>
          <w:color w:val="000000"/>
          <w:sz w:val="32"/>
          <w:szCs w:val="32"/>
          <w:highlight w:val="none"/>
        </w:rPr>
      </w:pPr>
      <w:r>
        <w:rPr>
          <w:rFonts w:hint="eastAsia" w:ascii="楷体_GB2312" w:hAnsi="楷体" w:eastAsia="楷体" w:cs="瀹嬩綋"/>
          <w:color w:val="000000"/>
          <w:sz w:val="32"/>
          <w:szCs w:val="32"/>
          <w:highlight w:val="none"/>
        </w:rPr>
        <w:t>（1985年6月1日上海市人民政府发布</w:t>
      </w:r>
      <w:r>
        <w:rPr>
          <w:rFonts w:hint="eastAsia" w:ascii="楷体_GB2312" w:hAnsi="楷体" w:eastAsia="楷体" w:cs="瀹嬩綋"/>
          <w:color w:val="000000"/>
          <w:sz w:val="32"/>
          <w:szCs w:val="32"/>
          <w:highlight w:val="none"/>
          <w:lang w:val="en-US" w:eastAsia="zh-CN"/>
        </w:rPr>
        <w:t xml:space="preserve">  </w:t>
      </w:r>
      <w:r>
        <w:rPr>
          <w:rFonts w:hint="eastAsia" w:ascii="楷体_GB2312" w:hAnsi="楷体" w:eastAsia="楷体" w:cs="瀹嬩綋"/>
          <w:color w:val="000000"/>
          <w:sz w:val="32"/>
          <w:szCs w:val="32"/>
          <w:highlight w:val="none"/>
        </w:rPr>
        <w:t>自</w:t>
      </w:r>
      <w:r>
        <w:rPr>
          <w:rFonts w:hint="eastAsia" w:ascii="楷体_GB2312" w:hAnsi="楷体" w:eastAsia="楷体" w:cs="瀹嬩綋"/>
          <w:color w:val="000000"/>
          <w:sz w:val="32"/>
          <w:szCs w:val="32"/>
          <w:highlight w:val="none"/>
          <w:lang w:val="en-US" w:eastAsia="zh-CN"/>
        </w:rPr>
        <w:t>1985</w:t>
      </w:r>
      <w:r>
        <w:rPr>
          <w:rFonts w:hint="eastAsia" w:ascii="楷体_GB2312" w:hAnsi="楷体" w:eastAsia="楷体" w:cs="瀹嬩綋"/>
          <w:color w:val="000000"/>
          <w:sz w:val="32"/>
          <w:szCs w:val="32"/>
          <w:highlight w:val="none"/>
        </w:rPr>
        <w:t>年</w:t>
      </w:r>
      <w:r>
        <w:rPr>
          <w:rFonts w:hint="eastAsia" w:ascii="楷体_GB2312" w:hAnsi="楷体" w:eastAsia="楷体" w:cs="瀹嬩綋"/>
          <w:color w:val="000000"/>
          <w:sz w:val="32"/>
          <w:szCs w:val="32"/>
          <w:highlight w:val="none"/>
          <w:lang w:val="en-US" w:eastAsia="zh-CN"/>
        </w:rPr>
        <w:t>1</w:t>
      </w:r>
      <w:r>
        <w:rPr>
          <w:rFonts w:hint="eastAsia" w:ascii="楷体_GB2312" w:hAnsi="楷体" w:eastAsia="楷体" w:cs="瀹嬩綋"/>
          <w:color w:val="000000"/>
          <w:sz w:val="32"/>
          <w:szCs w:val="32"/>
          <w:highlight w:val="none"/>
        </w:rPr>
        <w:t>月</w:t>
      </w:r>
      <w:r>
        <w:rPr>
          <w:rFonts w:hint="eastAsia" w:ascii="楷体_GB2312" w:hAnsi="楷体" w:eastAsia="楷体" w:cs="瀹嬩綋"/>
          <w:color w:val="000000"/>
          <w:sz w:val="32"/>
          <w:szCs w:val="32"/>
          <w:highlight w:val="none"/>
          <w:lang w:val="en-US" w:eastAsia="zh-CN"/>
        </w:rPr>
        <w:t>1</w:t>
      </w:r>
      <w:r>
        <w:rPr>
          <w:rFonts w:hint="eastAsia" w:ascii="楷体_GB2312" w:hAnsi="楷体" w:eastAsia="楷体" w:cs="瀹嬩綋"/>
          <w:color w:val="000000"/>
          <w:sz w:val="32"/>
          <w:szCs w:val="32"/>
          <w:highlight w:val="none"/>
        </w:rPr>
        <w:t>日起执行）</w:t>
      </w:r>
    </w:p>
    <w:p>
      <w:pPr>
        <w:tabs>
          <w:tab w:val="left" w:pos="525"/>
          <w:tab w:val="left" w:pos="735"/>
        </w:tabs>
        <w:jc w:val="center"/>
        <w:rPr>
          <w:rFonts w:ascii="仿宋_GB2312" w:hAnsi="宋体" w:eastAsia="仿宋_GB2312"/>
          <w:color w:val="000000"/>
          <w:sz w:val="32"/>
          <w:szCs w:val="32"/>
          <w:highlight w:val="none"/>
        </w:rPr>
      </w:pPr>
    </w:p>
    <w:p>
      <w:pPr>
        <w:pStyle w:val="3"/>
        <w:ind w:firstLine="640" w:firstLineChars="200"/>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 xml:space="preserve">第一条 </w:t>
      </w:r>
      <w:r>
        <w:rPr>
          <w:rFonts w:hint="eastAsia" w:ascii="仿宋_GB2312" w:hAnsi="宋体" w:eastAsia="仿宋_GB2312" w:cs="宋体"/>
          <w:color w:val="000000"/>
          <w:sz w:val="32"/>
          <w:szCs w:val="32"/>
          <w:highlight w:val="none"/>
        </w:rPr>
        <w:t xml:space="preserve"> 为了加强城市的维护建设，扩大和稳定城市维护建设资金的来源，根据《中华人民共和国城市维护建设税暂行条例》的规定，结合本市具体情况，制定本细则。</w:t>
      </w:r>
    </w:p>
    <w:p>
      <w:pPr>
        <w:pStyle w:val="3"/>
        <w:ind w:firstLine="640" w:firstLineChars="200"/>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 xml:space="preserve">第二条 </w:t>
      </w:r>
      <w:r>
        <w:rPr>
          <w:rFonts w:hint="eastAsia" w:ascii="仿宋_GB2312" w:hAnsi="宋体" w:eastAsia="仿宋_GB2312" w:cs="宋体"/>
          <w:color w:val="000000"/>
          <w:sz w:val="32"/>
          <w:szCs w:val="32"/>
          <w:highlight w:val="none"/>
        </w:rPr>
        <w:t xml:space="preserve"> 凡缴纳产品税、增值税、营业税的单位和个人，都是城市维护建设税的纳税义务人（以下简称纳税人），应当依照本细则的规定缴纳城市维护建设税。</w:t>
      </w:r>
    </w:p>
    <w:p>
      <w:pPr>
        <w:pStyle w:val="3"/>
        <w:ind w:firstLine="640" w:firstLineChars="200"/>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 xml:space="preserve">第三条 </w:t>
      </w:r>
      <w:r>
        <w:rPr>
          <w:rFonts w:hint="eastAsia" w:ascii="仿宋_GB2312" w:hAnsi="宋体" w:eastAsia="仿宋_GB2312" w:cs="宋体"/>
          <w:color w:val="000000"/>
          <w:sz w:val="32"/>
          <w:szCs w:val="32"/>
          <w:highlight w:val="none"/>
        </w:rPr>
        <w:t xml:space="preserve"> 城市维护建设税，以纳税人实际缴纳的产品税、增值税、营业税税额为计税依据，分别与产品税、增值税、营业税同时缴纳。</w:t>
      </w:r>
    </w:p>
    <w:p>
      <w:pPr>
        <w:pStyle w:val="3"/>
        <w:ind w:firstLine="405"/>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城市维护建设税由征收产品税、增值税、营业税的税务机关征收。</w:t>
      </w:r>
    </w:p>
    <w:p>
      <w:pPr>
        <w:pStyle w:val="3"/>
        <w:ind w:firstLine="405"/>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 xml:space="preserve">第四条 </w:t>
      </w:r>
      <w:r>
        <w:rPr>
          <w:rFonts w:hint="eastAsia" w:ascii="仿宋_GB2312" w:hAnsi="宋体" w:eastAsia="仿宋_GB2312" w:cs="宋体"/>
          <w:color w:val="000000"/>
          <w:sz w:val="32"/>
          <w:szCs w:val="32"/>
          <w:highlight w:val="none"/>
        </w:rPr>
        <w:t xml:space="preserve"> 城市维护建设税税率分别规定如下：</w:t>
      </w:r>
    </w:p>
    <w:p>
      <w:pPr>
        <w:pStyle w:val="3"/>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（一）纳税人所在地在市区或金山卫石化地区的，税率为百分之七；</w:t>
      </w:r>
    </w:p>
    <w:p>
      <w:pPr>
        <w:pStyle w:val="3"/>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（二）纳税人所在地在县城或县属镇的，税率为百分之五；</w:t>
      </w:r>
    </w:p>
    <w:p>
      <w:pPr>
        <w:pStyle w:val="3"/>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（三）纳税人所在地在前两项规定地区以外的，税率为百分之一；</w:t>
      </w:r>
    </w:p>
    <w:p>
      <w:pPr>
        <w:pStyle w:val="3"/>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（四）临时经营和个体工商户按纳税所在地的税率为适用税率；</w:t>
      </w:r>
    </w:p>
    <w:p>
      <w:pPr>
        <w:pStyle w:val="3"/>
        <w:ind w:firstLine="420"/>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（五）接受委托加工、代销商品并代扣代缴产品税、增值税、营业税的和其他按税收规定代扣代缴产品税、增值税、营业税的，按代扣代缴所在地的税率为适用税率。</w:t>
      </w:r>
    </w:p>
    <w:p>
      <w:pPr>
        <w:pStyle w:val="3"/>
        <w:ind w:firstLine="420"/>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 xml:space="preserve">第五条 </w:t>
      </w:r>
      <w:r>
        <w:rPr>
          <w:rFonts w:hint="eastAsia" w:ascii="仿宋_GB2312" w:hAnsi="宋体" w:eastAsia="仿宋_GB2312" w:cs="宋体"/>
          <w:color w:val="000000"/>
          <w:sz w:val="32"/>
          <w:szCs w:val="32"/>
          <w:highlight w:val="none"/>
        </w:rPr>
        <w:t xml:space="preserve"> 市区、县城、县属镇的范围一律按行政区划为准。</w:t>
      </w:r>
    </w:p>
    <w:p>
      <w:pPr>
        <w:pStyle w:val="3"/>
        <w:ind w:firstLine="420"/>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 xml:space="preserve">第六条 </w:t>
      </w:r>
      <w:r>
        <w:rPr>
          <w:rFonts w:hint="eastAsia" w:ascii="仿宋_GB2312" w:hAnsi="宋体" w:eastAsia="仿宋_GB2312" w:cs="宋体"/>
          <w:color w:val="000000"/>
          <w:sz w:val="32"/>
          <w:szCs w:val="32"/>
          <w:highlight w:val="none"/>
        </w:rPr>
        <w:t xml:space="preserve"> 城市维护建设税的征收、管理、纳税环节、奖罚等事项，比照产品税、增值税、营业税的有关规定办理。</w:t>
      </w:r>
    </w:p>
    <w:p>
      <w:pPr>
        <w:pStyle w:val="3"/>
        <w:ind w:firstLine="420"/>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 xml:space="preserve">第七条 </w:t>
      </w:r>
      <w:r>
        <w:rPr>
          <w:rFonts w:hint="eastAsia" w:ascii="仿宋_GB2312" w:hAnsi="宋体" w:eastAsia="仿宋_GB2312" w:cs="宋体"/>
          <w:color w:val="000000"/>
          <w:sz w:val="32"/>
          <w:szCs w:val="32"/>
          <w:highlight w:val="none"/>
        </w:rPr>
        <w:t xml:space="preserve"> 城市维护建设税应当保证用于城市的公用事业和公共设施的维护建设，具体安排由市财政局会同市建委、市计委确定。</w:t>
      </w:r>
    </w:p>
    <w:p>
      <w:pPr>
        <w:pStyle w:val="3"/>
        <w:ind w:firstLine="420"/>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 xml:space="preserve">第八条 </w:t>
      </w:r>
      <w:r>
        <w:rPr>
          <w:rFonts w:hint="eastAsia" w:ascii="仿宋_GB2312" w:hAnsi="宋体" w:eastAsia="仿宋_GB2312" w:cs="宋体"/>
          <w:color w:val="000000"/>
          <w:sz w:val="32"/>
          <w:szCs w:val="32"/>
          <w:highlight w:val="none"/>
        </w:rPr>
        <w:t xml:space="preserve"> 按照本细则规定，由县税务机关依百分之一税率征收的税款，应当留给各县，专用于乡镇的维护和建设。</w:t>
      </w:r>
    </w:p>
    <w:p>
      <w:pPr>
        <w:pStyle w:val="3"/>
        <w:ind w:firstLine="420"/>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 xml:space="preserve">第九条 </w:t>
      </w:r>
      <w:r>
        <w:rPr>
          <w:rFonts w:hint="eastAsia" w:ascii="仿宋_GB2312" w:hAnsi="宋体" w:eastAsia="仿宋_GB2312" w:cs="宋体"/>
          <w:color w:val="000000"/>
          <w:sz w:val="32"/>
          <w:szCs w:val="32"/>
          <w:highlight w:val="none"/>
        </w:rPr>
        <w:t xml:space="preserve"> 开征城市维护建设税后，工商税附加（第二步利改税后为产品税、增值税、营业税附加）即行取消。</w:t>
      </w:r>
    </w:p>
    <w:p>
      <w:pPr>
        <w:pStyle w:val="3"/>
        <w:ind w:firstLine="420"/>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 xml:space="preserve">第十条 </w:t>
      </w:r>
      <w:r>
        <w:rPr>
          <w:rFonts w:hint="eastAsia" w:ascii="仿宋_GB2312" w:hAnsi="宋体" w:eastAsia="仿宋_GB2312" w:cs="宋体"/>
          <w:color w:val="000000"/>
          <w:sz w:val="32"/>
          <w:szCs w:val="32"/>
          <w:highlight w:val="none"/>
        </w:rPr>
        <w:t xml:space="preserve"> 本细则的解释权，属上海市税务局。上海市税务局可根据本细则制订具体征收办法。</w:t>
      </w:r>
    </w:p>
    <w:p>
      <w:pPr>
        <w:pStyle w:val="3"/>
        <w:ind w:firstLine="420"/>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 xml:space="preserve">第十一条 </w:t>
      </w:r>
      <w:r>
        <w:rPr>
          <w:rFonts w:hint="eastAsia" w:ascii="仿宋_GB2312" w:hAnsi="宋体" w:eastAsia="仿宋_GB2312" w:cs="宋体"/>
          <w:color w:val="000000"/>
          <w:sz w:val="32"/>
          <w:szCs w:val="32"/>
          <w:highlight w:val="none"/>
        </w:rPr>
        <w:t xml:space="preserve"> 本细则自一九八五年一月一日起执行。</w:t>
      </w:r>
    </w:p>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瀹嬩綋">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53F9408C"/>
    <w:rsid w:val="54F05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1781</Words>
  <Characters>1819</Characters>
  <Lines>0</Lines>
  <Paragraphs>0</Paragraphs>
  <TotalTime>5</TotalTime>
  <ScaleCrop>false</ScaleCrop>
  <LinksUpToDate>false</LinksUpToDate>
  <CharactersWithSpaces>2041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2021-12-29T06:39:16Z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DE4448D35DEB4B0C9C2DE51B8E79CF28</vt:lpwstr>
  </property>
</Properties>
</file>