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40F5316">
      <w:pPr>
        <w:suppressAutoHyphens/>
        <w:overflowPunct w:val="0"/>
        <w:spacing w:line="576" w:lineRule="exact"/>
        <w:jc w:val="left"/>
        <w:rPr>
          <w:rFonts w:hint="eastAsia" w:ascii="黑体" w:hAnsi="黑体" w:eastAsia="黑体" w:cs="黑体"/>
          <w:sz w:val="32"/>
          <w:szCs w:val="32"/>
        </w:rPr>
      </w:pPr>
    </w:p>
    <w:p w14:paraId="77847E81">
      <w:pPr>
        <w:suppressAutoHyphens/>
        <w:overflowPunct w:val="0"/>
        <w:spacing w:line="576" w:lineRule="exact"/>
        <w:jc w:val="left"/>
        <w:rPr>
          <w:rFonts w:hint="eastAsia" w:ascii="黑体" w:hAnsi="黑体" w:eastAsia="黑体" w:cs="黑体"/>
          <w:sz w:val="32"/>
          <w:szCs w:val="32"/>
        </w:rPr>
      </w:pPr>
      <w:r>
        <w:rPr>
          <w:rFonts w:hint="eastAsia" w:ascii="黑体" w:hAnsi="黑体" w:eastAsia="黑体" w:cs="黑体"/>
          <w:sz w:val="32"/>
          <w:szCs w:val="32"/>
        </w:rPr>
        <w:t>附件</w:t>
      </w:r>
    </w:p>
    <w:p w14:paraId="2F0E5696">
      <w:pPr>
        <w:suppressAutoHyphens/>
        <w:overflowPunct w:val="0"/>
        <w:spacing w:line="576" w:lineRule="exact"/>
        <w:jc w:val="center"/>
        <w:rPr>
          <w:rFonts w:hint="eastAsia" w:ascii="方正小标宋简体" w:hAnsi="方正小标宋简体" w:eastAsia="方正小标宋简体" w:cs="方正小标宋简体"/>
          <w:sz w:val="36"/>
          <w:szCs w:val="36"/>
        </w:rPr>
      </w:pPr>
      <w:bookmarkStart w:id="0" w:name="_GoBack"/>
      <w:r>
        <w:rPr>
          <w:rFonts w:hint="eastAsia" w:ascii="方正小标宋简体" w:hAnsi="方正小标宋简体" w:eastAsia="方正小标宋简体" w:cs="方正小标宋简体"/>
          <w:sz w:val="36"/>
          <w:szCs w:val="36"/>
        </w:rPr>
        <w:t>2026年度国家外经贸发展专项资金（吸引外资）</w:t>
      </w:r>
    </w:p>
    <w:p w14:paraId="2025AAA6">
      <w:pPr>
        <w:suppressAutoHyphens/>
        <w:overflowPunct w:val="0"/>
        <w:spacing w:line="576"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申报材料及要求</w:t>
      </w:r>
    </w:p>
    <w:bookmarkEnd w:id="0"/>
    <w:p w14:paraId="53C824FD">
      <w:pPr>
        <w:tabs>
          <w:tab w:val="left" w:pos="1134"/>
          <w:tab w:val="left" w:pos="1418"/>
        </w:tabs>
        <w:suppressAutoHyphens/>
        <w:wordWrap w:val="0"/>
        <w:spacing w:line="576" w:lineRule="exact"/>
        <w:ind w:firstLine="640" w:firstLineChars="200"/>
        <w:rPr>
          <w:rFonts w:ascii="仿宋_GB2312" w:hAnsi="Calibri" w:eastAsia="仿宋_GB2312"/>
          <w:sz w:val="32"/>
          <w:szCs w:val="32"/>
        </w:rPr>
      </w:pPr>
    </w:p>
    <w:p w14:paraId="145CAE0A">
      <w:pPr>
        <w:suppressAutoHyphens/>
        <w:overflowPunct w:val="0"/>
        <w:spacing w:line="560" w:lineRule="exact"/>
        <w:ind w:firstLine="600" w:firstLineChars="200"/>
        <w:rPr>
          <w:rFonts w:hint="eastAsia" w:ascii="黑体" w:hAnsi="黑体" w:eastAsia="黑体" w:cs="黑体"/>
          <w:sz w:val="30"/>
          <w:szCs w:val="30"/>
        </w:rPr>
      </w:pPr>
      <w:r>
        <w:rPr>
          <w:rFonts w:hint="eastAsia" w:ascii="黑体" w:hAnsi="黑体" w:eastAsia="黑体" w:cs="黑体"/>
          <w:sz w:val="30"/>
          <w:szCs w:val="30"/>
        </w:rPr>
        <w:t>一、申报材料</w:t>
      </w:r>
    </w:p>
    <w:p w14:paraId="17F4A1D9">
      <w:pPr>
        <w:suppressAutoHyphens/>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采取政府购买服务方式实施的公共服务项目，按规定提供相关材料。支持开展产业转移公共服务项目需提供以下材料：</w:t>
      </w:r>
    </w:p>
    <w:p w14:paraId="2F7DBA1E">
      <w:pPr>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1.申报单位法人代表（或授权代表）签字并加盖公章的申请表（附表）。</w:t>
      </w:r>
    </w:p>
    <w:p w14:paraId="35E29EFA">
      <w:pPr>
        <w:suppressAutoHyphens/>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2.产业转移公共服务项目总结报告。</w:t>
      </w:r>
    </w:p>
    <w:p w14:paraId="5A79D690">
      <w:pPr>
        <w:suppressAutoHyphens/>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3.项目费用清单、发票复印件、银行回单复印件和合同复印件等相关资料。</w:t>
      </w:r>
    </w:p>
    <w:p w14:paraId="6BEFF666">
      <w:pPr>
        <w:suppressAutoHyphens/>
        <w:overflowPunct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4.其他佐证项目实施情况的相关材料。</w:t>
      </w:r>
    </w:p>
    <w:p w14:paraId="18EEFB4A">
      <w:pPr>
        <w:suppressAutoHyphens/>
        <w:overflowPunct w:val="0"/>
        <w:spacing w:line="560" w:lineRule="exact"/>
        <w:ind w:firstLine="600" w:firstLineChars="200"/>
        <w:rPr>
          <w:rFonts w:hint="eastAsia" w:ascii="黑体" w:hAnsi="黑体" w:eastAsia="黑体" w:cs="黑体"/>
          <w:sz w:val="30"/>
          <w:szCs w:val="30"/>
        </w:rPr>
      </w:pPr>
      <w:r>
        <w:rPr>
          <w:rFonts w:hint="eastAsia" w:ascii="黑体" w:hAnsi="黑体" w:eastAsia="黑体" w:cs="黑体"/>
          <w:sz w:val="30"/>
          <w:szCs w:val="30"/>
        </w:rPr>
        <w:t>二、申报要求</w:t>
      </w:r>
    </w:p>
    <w:p w14:paraId="4EAC5B34">
      <w:pPr>
        <w:suppressAutoHyphens/>
        <w:overflowPunct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本次申报将采取网上申报和书面材料受理相结合的方式。</w:t>
      </w:r>
    </w:p>
    <w:p w14:paraId="793784C6">
      <w:pPr>
        <w:suppressAutoHyphens/>
        <w:wordWrap w:val="0"/>
        <w:overflowPunct w:val="0"/>
        <w:spacing w:line="560" w:lineRule="exact"/>
        <w:ind w:firstLine="602" w:firstLineChars="200"/>
        <w:rPr>
          <w:rFonts w:ascii="楷体_GB2312" w:hAnsi="仿宋_GB2312" w:eastAsia="楷体_GB2312" w:cs="仿宋_GB2312"/>
          <w:b/>
          <w:sz w:val="30"/>
          <w:szCs w:val="30"/>
        </w:rPr>
      </w:pPr>
      <w:r>
        <w:rPr>
          <w:rFonts w:hint="eastAsia" w:ascii="楷体_GB2312" w:hAnsi="仿宋_GB2312" w:eastAsia="楷体_GB2312" w:cs="仿宋_GB2312"/>
          <w:b/>
          <w:sz w:val="30"/>
          <w:szCs w:val="30"/>
        </w:rPr>
        <w:t>（一）网上申报</w:t>
      </w:r>
    </w:p>
    <w:p w14:paraId="032D27F6">
      <w:pPr>
        <w:suppressAutoHyphens/>
        <w:wordWrap w:val="0"/>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申报单位通过法人一证通或者电子营业执照登录“上海一网通办”中的“随申兑，惠企政策精准服务”专窗（https://zwdt.sh.gov.cn/qykj/shell_oc_policy_zq/policy/index?from=zwfw），进行在线填报、提交相关电子材料。</w:t>
      </w:r>
    </w:p>
    <w:p w14:paraId="4B70A788">
      <w:pPr>
        <w:suppressAutoHyphens/>
        <w:overflowPunct w:val="0"/>
        <w:spacing w:line="560" w:lineRule="exact"/>
        <w:ind w:firstLine="602" w:firstLineChars="200"/>
        <w:rPr>
          <w:rFonts w:ascii="楷体_GB2312" w:hAnsi="仿宋_GB2312" w:eastAsia="楷体_GB2312" w:cs="仿宋_GB2312"/>
          <w:b/>
          <w:sz w:val="30"/>
          <w:szCs w:val="30"/>
        </w:rPr>
      </w:pPr>
      <w:r>
        <w:rPr>
          <w:rFonts w:hint="eastAsia" w:ascii="楷体_GB2312" w:hAnsi="仿宋_GB2312" w:eastAsia="楷体_GB2312" w:cs="仿宋_GB2312"/>
          <w:b/>
          <w:sz w:val="30"/>
          <w:szCs w:val="30"/>
        </w:rPr>
        <w:t>（二）书面材料受理及咨询</w:t>
      </w:r>
    </w:p>
    <w:p w14:paraId="5F50379E">
      <w:pPr>
        <w:suppressAutoHyphens/>
        <w:overflowPunct w:val="0"/>
        <w:spacing w:line="560" w:lineRule="exact"/>
        <w:ind w:firstLine="600" w:firstLineChars="200"/>
        <w:rPr>
          <w:rFonts w:ascii="仿宋_GB2312" w:hAnsi="仿宋_GB2312" w:eastAsia="仿宋_GB2312" w:cs="仿宋_GB2312"/>
          <w:sz w:val="30"/>
          <w:szCs w:val="30"/>
          <w:highlight w:val="yellow"/>
        </w:rPr>
      </w:pPr>
      <w:r>
        <w:rPr>
          <w:rFonts w:hint="eastAsia" w:ascii="仿宋_GB2312" w:hAnsi="仿宋_GB2312" w:eastAsia="仿宋_GB2312" w:cs="仿宋_GB2312"/>
          <w:sz w:val="30"/>
          <w:szCs w:val="30"/>
        </w:rPr>
        <w:t>所有书面材料采用A4纸打印，一式贰份，须附目录页并按材料顺序左侧装订成册并加盖骑缝章，并于2026年9月25日前送达指定地点，逾期不予受理。送达地址：娄山关路83号新虹桥中心大厦15楼。</w:t>
      </w:r>
    </w:p>
    <w:p w14:paraId="75568D76">
      <w:pPr>
        <w:suppressAutoHyphens/>
        <w:overflowPunct w:val="0"/>
        <w:spacing w:line="560" w:lineRule="exact"/>
        <w:ind w:firstLine="600" w:firstLineChars="200"/>
        <w:rPr>
          <w:rFonts w:hint="eastAsia" w:ascii="仿宋_GB2312" w:hAnsi="仿宋_GB2312" w:eastAsia="仿宋_GB2312" w:cs="仿宋_GB2312"/>
          <w:sz w:val="30"/>
          <w:szCs w:val="30"/>
        </w:rPr>
      </w:pPr>
    </w:p>
    <w:p w14:paraId="40FD5DFD">
      <w:pPr>
        <w:suppressAutoHyphens/>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附表：国家外经贸发展专项资金（吸引外资）申请表</w:t>
      </w:r>
    </w:p>
    <w:p w14:paraId="08F2D9C3">
      <w:pPr>
        <w:suppressAutoHyphens/>
        <w:overflowPunct w:val="0"/>
        <w:spacing w:line="540" w:lineRule="exact"/>
        <w:ind w:firstLine="600" w:firstLineChars="200"/>
        <w:rPr>
          <w:rFonts w:hint="eastAsia" w:ascii="仿宋_GB2312" w:hAnsi="仿宋_GB2312" w:eastAsia="仿宋_GB2312" w:cs="仿宋_GB2312"/>
          <w:sz w:val="30"/>
          <w:szCs w:val="30"/>
        </w:rPr>
      </w:pPr>
    </w:p>
    <w:p w14:paraId="2FB13315">
      <w:pPr>
        <w:suppressAutoHyphens/>
        <w:overflowPunct w:val="0"/>
        <w:spacing w:line="560" w:lineRule="exact"/>
        <w:ind w:firstLine="600" w:firstLineChars="200"/>
        <w:rPr>
          <w:rFonts w:ascii="仿宋_GB2312" w:hAnsi="仿宋_GB2312" w:eastAsia="仿宋_GB2312" w:cs="仿宋_GB2312"/>
          <w:sz w:val="30"/>
          <w:szCs w:val="30"/>
        </w:rPr>
      </w:pPr>
      <w:r>
        <w:rPr>
          <w:rFonts w:hint="eastAsia" w:ascii="仿宋_GB2312" w:hAnsi="仿宋_GB2312" w:eastAsia="仿宋_GB2312" w:cs="仿宋_GB2312"/>
          <w:sz w:val="30"/>
          <w:szCs w:val="30"/>
        </w:rPr>
        <w:t xml:space="preserve">联系方式：张老师 021-62369998；徐老师 </w:t>
      </w:r>
      <w:r>
        <w:rPr>
          <w:rFonts w:ascii="仿宋_GB2312" w:hAnsi="仿宋_GB2312" w:eastAsia="仿宋_GB2312" w:cs="仿宋_GB2312"/>
          <w:sz w:val="30"/>
          <w:szCs w:val="30"/>
        </w:rPr>
        <w:t>021-52551036</w:t>
      </w:r>
    </w:p>
    <w:p w14:paraId="489AEF04">
      <w:pPr>
        <w:suppressAutoHyphens/>
        <w:overflowPunct w:val="0"/>
        <w:spacing w:line="560" w:lineRule="exact"/>
        <w:ind w:firstLine="600" w:firstLineChars="2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邮    箱：</w:t>
      </w:r>
      <w:r>
        <w:rPr>
          <w:rFonts w:ascii="仿宋_GB2312" w:hAnsi="仿宋_GB2312" w:eastAsia="仿宋_GB2312" w:cs="仿宋_GB2312"/>
          <w:color w:val="000000"/>
          <w:sz w:val="30"/>
          <w:szCs w:val="30"/>
        </w:rPr>
        <w:fldChar w:fldCharType="begin"/>
      </w:r>
      <w:r>
        <w:rPr>
          <w:rFonts w:ascii="仿宋_GB2312" w:hAnsi="仿宋_GB2312" w:eastAsia="仿宋_GB2312" w:cs="仿宋_GB2312"/>
          <w:color w:val="000000"/>
          <w:sz w:val="30"/>
          <w:szCs w:val="30"/>
        </w:rPr>
        <w:instrText xml:space="preserve"> HYPERLINK "mailto:</w:instrText>
      </w:r>
      <w:r>
        <w:rPr>
          <w:rFonts w:hint="eastAsia" w:ascii="仿宋_GB2312" w:hAnsi="仿宋_GB2312" w:eastAsia="仿宋_GB2312" w:cs="仿宋_GB2312"/>
          <w:color w:val="000000"/>
          <w:sz w:val="30"/>
          <w:szCs w:val="30"/>
        </w:rPr>
        <w:instrText xml:space="preserve">zjj@investsh.org.cn</w:instrText>
      </w:r>
      <w:r>
        <w:rPr>
          <w:rFonts w:ascii="仿宋_GB2312" w:hAnsi="仿宋_GB2312" w:eastAsia="仿宋_GB2312" w:cs="仿宋_GB2312"/>
          <w:color w:val="000000"/>
          <w:sz w:val="30"/>
          <w:szCs w:val="30"/>
        </w:rPr>
        <w:instrText xml:space="preserve">" </w:instrText>
      </w:r>
      <w:r>
        <w:rPr>
          <w:rFonts w:ascii="仿宋_GB2312" w:hAnsi="仿宋_GB2312" w:eastAsia="仿宋_GB2312" w:cs="仿宋_GB2312"/>
          <w:color w:val="000000"/>
          <w:sz w:val="30"/>
          <w:szCs w:val="30"/>
        </w:rPr>
        <w:fldChar w:fldCharType="separate"/>
      </w:r>
      <w:r>
        <w:rPr>
          <w:rStyle w:val="4"/>
          <w:rFonts w:hint="eastAsia" w:ascii="仿宋_GB2312" w:hAnsi="仿宋_GB2312" w:eastAsia="仿宋_GB2312" w:cs="仿宋_GB2312"/>
          <w:color w:val="000000"/>
          <w:sz w:val="30"/>
          <w:szCs w:val="30"/>
          <w:u w:val="none"/>
        </w:rPr>
        <w:t>zjj@investsh.org.cn</w:t>
      </w:r>
      <w:r>
        <w:rPr>
          <w:rFonts w:ascii="仿宋_GB2312" w:hAnsi="仿宋_GB2312" w:eastAsia="仿宋_GB2312" w:cs="仿宋_GB2312"/>
          <w:color w:val="000000"/>
          <w:sz w:val="30"/>
          <w:szCs w:val="30"/>
        </w:rPr>
        <w:fldChar w:fldCharType="end"/>
      </w:r>
      <w:r>
        <w:rPr>
          <w:rFonts w:hint="eastAsia" w:ascii="仿宋_GB2312" w:hAnsi="仿宋_GB2312" w:eastAsia="仿宋_GB2312" w:cs="仿宋_GB2312"/>
          <w:color w:val="000000"/>
          <w:sz w:val="30"/>
          <w:szCs w:val="30"/>
        </w:rPr>
        <w:t>；</w:t>
      </w:r>
    </w:p>
    <w:p w14:paraId="53E62397">
      <w:pPr>
        <w:suppressAutoHyphens/>
        <w:overflowPunct w:val="0"/>
        <w:spacing w:line="560" w:lineRule="exact"/>
        <w:ind w:firstLine="2100" w:firstLineChars="700"/>
        <w:rPr>
          <w:rFonts w:hint="eastAsia" w:ascii="仿宋_GB2312" w:hAnsi="仿宋_GB2312" w:eastAsia="仿宋_GB2312" w:cs="仿宋_GB2312"/>
          <w:sz w:val="30"/>
          <w:szCs w:val="30"/>
        </w:rPr>
      </w:pPr>
      <w:r>
        <w:rPr>
          <w:rFonts w:hint="eastAsia" w:ascii="仿宋_GB2312" w:hAnsi="仿宋_GB2312" w:eastAsia="仿宋_GB2312" w:cs="仿宋_GB2312"/>
          <w:sz w:val="30"/>
          <w:szCs w:val="30"/>
        </w:rPr>
        <w:t>xujiangyue@investsh.org.cn</w:t>
      </w:r>
    </w:p>
    <w:p w14:paraId="2891B6D8">
      <w:pPr>
        <w:spacing w:line="500" w:lineRule="exact"/>
        <w:jc w:val="left"/>
        <w:rPr>
          <w:rFonts w:hint="eastAsia" w:ascii="黑体" w:hAnsi="宋体" w:eastAsia="黑体"/>
          <w:sz w:val="24"/>
          <w:szCs w:val="24"/>
        </w:rPr>
      </w:pPr>
    </w:p>
    <w:p w14:paraId="270C5314">
      <w:pPr>
        <w:spacing w:line="500" w:lineRule="exact"/>
        <w:jc w:val="left"/>
        <w:rPr>
          <w:rFonts w:hint="eastAsia" w:ascii="黑体" w:hAnsi="宋体" w:eastAsia="黑体"/>
          <w:sz w:val="24"/>
          <w:szCs w:val="24"/>
        </w:rPr>
      </w:pPr>
    </w:p>
    <w:p w14:paraId="59F9A68C">
      <w:pPr>
        <w:spacing w:line="500" w:lineRule="exact"/>
        <w:jc w:val="left"/>
        <w:rPr>
          <w:rFonts w:hint="eastAsia" w:ascii="黑体" w:hAnsi="宋体" w:eastAsia="黑体"/>
          <w:sz w:val="24"/>
          <w:szCs w:val="24"/>
        </w:rPr>
      </w:pPr>
    </w:p>
    <w:p w14:paraId="012AEEE7">
      <w:pPr>
        <w:spacing w:line="600" w:lineRule="exact"/>
        <w:jc w:val="left"/>
        <w:rPr>
          <w:rFonts w:hint="eastAsia" w:ascii="黑体" w:hAnsi="宋体" w:eastAsia="黑体"/>
          <w:sz w:val="24"/>
          <w:szCs w:val="24"/>
        </w:rPr>
      </w:pPr>
    </w:p>
    <w:p w14:paraId="6DD398A9">
      <w:pPr>
        <w:spacing w:line="500" w:lineRule="exact"/>
        <w:jc w:val="left"/>
        <w:rPr>
          <w:rFonts w:hint="eastAsia" w:ascii="黑体" w:hAnsi="宋体" w:eastAsia="黑体"/>
          <w:sz w:val="24"/>
          <w:szCs w:val="24"/>
        </w:rPr>
      </w:pPr>
    </w:p>
    <w:p w14:paraId="0606DA35">
      <w:pPr>
        <w:tabs>
          <w:tab w:val="left" w:pos="7371"/>
        </w:tabs>
        <w:spacing w:line="680" w:lineRule="exact"/>
        <w:rPr>
          <w:rFonts w:hint="eastAsia" w:ascii="仿宋_GB2312" w:eastAsia="仿宋_GB2312"/>
          <w:sz w:val="32"/>
          <w:szCs w:val="32"/>
        </w:rPr>
      </w:pPr>
    </w:p>
    <w:p w14:paraId="3E89EEF3">
      <w:pPr>
        <w:tabs>
          <w:tab w:val="left" w:pos="7371"/>
        </w:tabs>
        <w:spacing w:line="680" w:lineRule="exact"/>
        <w:rPr>
          <w:rFonts w:hint="eastAsia" w:ascii="仿宋_GB2312" w:eastAsia="仿宋_GB2312"/>
          <w:sz w:val="32"/>
          <w:szCs w:val="32"/>
        </w:rPr>
      </w:pPr>
    </w:p>
    <w:p w14:paraId="47F6E146">
      <w:pPr>
        <w:tabs>
          <w:tab w:val="left" w:pos="7371"/>
        </w:tabs>
        <w:spacing w:line="680" w:lineRule="exact"/>
        <w:rPr>
          <w:rFonts w:hint="eastAsia" w:ascii="仿宋_GB2312" w:eastAsia="仿宋_GB2312"/>
          <w:sz w:val="32"/>
          <w:szCs w:val="32"/>
        </w:rPr>
      </w:pPr>
    </w:p>
    <w:p w14:paraId="717D6E53">
      <w:pPr>
        <w:tabs>
          <w:tab w:val="left" w:pos="7371"/>
        </w:tabs>
        <w:spacing w:line="680" w:lineRule="exact"/>
        <w:rPr>
          <w:rFonts w:hint="eastAsia" w:ascii="仿宋_GB2312" w:eastAsia="仿宋_GB2312"/>
          <w:sz w:val="32"/>
          <w:szCs w:val="32"/>
        </w:rPr>
      </w:pPr>
    </w:p>
    <w:p w14:paraId="06B43791">
      <w:pPr>
        <w:tabs>
          <w:tab w:val="left" w:pos="7371"/>
        </w:tabs>
        <w:spacing w:line="680" w:lineRule="exact"/>
        <w:rPr>
          <w:rFonts w:hint="eastAsia" w:ascii="仿宋_GB2312" w:eastAsia="仿宋_GB2312"/>
          <w:sz w:val="32"/>
          <w:szCs w:val="32"/>
        </w:rPr>
      </w:pPr>
    </w:p>
    <w:p w14:paraId="1BC0A24C">
      <w:pPr>
        <w:tabs>
          <w:tab w:val="left" w:pos="7371"/>
        </w:tabs>
        <w:spacing w:line="680" w:lineRule="exact"/>
        <w:rPr>
          <w:rFonts w:hint="eastAsia" w:ascii="仿宋_GB2312" w:eastAsia="仿宋_GB2312"/>
          <w:sz w:val="32"/>
          <w:szCs w:val="32"/>
        </w:rPr>
      </w:pPr>
    </w:p>
    <w:p w14:paraId="15C1686A">
      <w:pPr>
        <w:tabs>
          <w:tab w:val="left" w:pos="7371"/>
        </w:tabs>
        <w:spacing w:line="680" w:lineRule="exact"/>
        <w:rPr>
          <w:rFonts w:hint="eastAsia" w:ascii="仿宋_GB2312" w:eastAsia="仿宋_GB2312"/>
          <w:sz w:val="32"/>
          <w:szCs w:val="32"/>
        </w:rPr>
      </w:pPr>
    </w:p>
    <w:p w14:paraId="73FEF376">
      <w:pPr>
        <w:tabs>
          <w:tab w:val="left" w:pos="7371"/>
        </w:tabs>
        <w:spacing w:line="680" w:lineRule="exact"/>
        <w:rPr>
          <w:rFonts w:hint="eastAsia" w:ascii="仿宋_GB2312" w:eastAsia="仿宋_GB2312"/>
          <w:sz w:val="32"/>
          <w:szCs w:val="32"/>
        </w:rPr>
      </w:pPr>
    </w:p>
    <w:p w14:paraId="2FAA5B51">
      <w:pPr>
        <w:tabs>
          <w:tab w:val="left" w:pos="7371"/>
        </w:tabs>
        <w:spacing w:line="680" w:lineRule="exact"/>
        <w:rPr>
          <w:rFonts w:hint="eastAsia" w:ascii="仿宋_GB2312" w:eastAsia="仿宋_GB2312"/>
          <w:sz w:val="32"/>
          <w:szCs w:val="32"/>
        </w:rPr>
      </w:pPr>
    </w:p>
    <w:p w14:paraId="5BBFEB49">
      <w:pPr>
        <w:suppressAutoHyphens/>
        <w:spacing w:line="460" w:lineRule="exact"/>
        <w:jc w:val="left"/>
        <w:rPr>
          <w:rFonts w:hint="eastAsia" w:ascii="黑体" w:hAnsi="仿宋_GB2312" w:eastAsia="黑体" w:cs="仿宋_GB2312"/>
          <w:sz w:val="32"/>
          <w:szCs w:val="32"/>
        </w:rPr>
      </w:pPr>
    </w:p>
    <w:p w14:paraId="1E2443DA">
      <w:pPr>
        <w:suppressAutoHyphens/>
        <w:spacing w:line="460" w:lineRule="exact"/>
        <w:jc w:val="left"/>
        <w:rPr>
          <w:rFonts w:hint="eastAsia" w:ascii="黑体" w:hAnsi="仿宋_GB2312" w:eastAsia="黑体" w:cs="仿宋_GB2312"/>
          <w:sz w:val="32"/>
          <w:szCs w:val="32"/>
        </w:rPr>
      </w:pPr>
      <w:r>
        <w:rPr>
          <w:rFonts w:hint="eastAsia" w:ascii="黑体" w:hAnsi="仿宋_GB2312" w:eastAsia="黑体" w:cs="仿宋_GB2312"/>
          <w:sz w:val="32"/>
          <w:szCs w:val="32"/>
        </w:rPr>
        <w:t>附表</w:t>
      </w:r>
    </w:p>
    <w:p w14:paraId="4FA4D24A">
      <w:pPr>
        <w:suppressAutoHyphens/>
        <w:spacing w:after="156" w:afterLines="50" w:line="460" w:lineRule="exact"/>
        <w:jc w:val="center"/>
        <w:rPr>
          <w:rFonts w:hint="eastAsia" w:ascii="方正小标宋简体" w:hAnsi="方正小标宋简体" w:eastAsia="方正小标宋简体" w:cs="方正小标宋简体"/>
          <w:sz w:val="36"/>
          <w:szCs w:val="36"/>
        </w:rPr>
      </w:pPr>
    </w:p>
    <w:p w14:paraId="74647F3A">
      <w:pPr>
        <w:suppressAutoHyphens/>
        <w:spacing w:after="156" w:afterLines="50" w:line="46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国家外经贸发展专项资金（吸引外资）申请表</w:t>
      </w:r>
    </w:p>
    <w:tbl>
      <w:tblPr>
        <w:tblStyle w:val="2"/>
        <w:tblW w:w="9104"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795"/>
        <w:gridCol w:w="1438"/>
        <w:gridCol w:w="1426"/>
        <w:gridCol w:w="1419"/>
        <w:gridCol w:w="1950"/>
        <w:gridCol w:w="2076"/>
      </w:tblGrid>
      <w:tr w14:paraId="5F20D0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vMerge w:val="restart"/>
            <w:tcBorders>
              <w:top w:val="single" w:color="auto" w:sz="4" w:space="0"/>
              <w:left w:val="single" w:color="auto" w:sz="4" w:space="0"/>
              <w:bottom w:val="single" w:color="auto" w:sz="4" w:space="0"/>
              <w:right w:val="single" w:color="auto" w:sz="4" w:space="0"/>
            </w:tcBorders>
            <w:noWrap/>
            <w:vAlign w:val="center"/>
          </w:tcPr>
          <w:p w14:paraId="4C2F2723">
            <w:pPr>
              <w:suppressAutoHyphens/>
              <w:spacing w:line="460" w:lineRule="exact"/>
              <w:jc w:val="center"/>
              <w:rPr>
                <w:rFonts w:ascii="Calibri" w:hAnsi="Calibri" w:eastAsia="仿宋_GB2312"/>
                <w:position w:val="6"/>
                <w:sz w:val="28"/>
                <w:szCs w:val="24"/>
              </w:rPr>
            </w:pPr>
            <w:r>
              <w:rPr>
                <w:rFonts w:hint="eastAsia" w:ascii="黑体" w:hAnsi="黑体" w:eastAsia="黑体" w:cs="黑体"/>
                <w:position w:val="6"/>
                <w:sz w:val="28"/>
                <w:szCs w:val="22"/>
              </w:rPr>
              <w:t>申请单位情况</w:t>
            </w:r>
          </w:p>
        </w:tc>
        <w:tc>
          <w:tcPr>
            <w:tcW w:w="1438" w:type="dxa"/>
            <w:tcBorders>
              <w:top w:val="single" w:color="auto" w:sz="4" w:space="0"/>
              <w:left w:val="single" w:color="auto" w:sz="4" w:space="0"/>
              <w:bottom w:val="single" w:color="auto" w:sz="4" w:space="0"/>
              <w:right w:val="single" w:color="auto" w:sz="4" w:space="0"/>
            </w:tcBorders>
            <w:noWrap/>
            <w:vAlign w:val="center"/>
          </w:tcPr>
          <w:p w14:paraId="23E1DE1D">
            <w:pPr>
              <w:suppressAutoHyphens/>
              <w:snapToGrid w:val="0"/>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单位全称</w:t>
            </w:r>
          </w:p>
        </w:tc>
        <w:tc>
          <w:tcPr>
            <w:tcW w:w="2845" w:type="dxa"/>
            <w:gridSpan w:val="2"/>
            <w:tcBorders>
              <w:top w:val="single" w:color="auto" w:sz="4" w:space="0"/>
              <w:left w:val="single" w:color="auto" w:sz="4" w:space="0"/>
              <w:bottom w:val="single" w:color="auto" w:sz="4" w:space="0"/>
              <w:right w:val="single" w:color="auto" w:sz="4" w:space="0"/>
            </w:tcBorders>
            <w:noWrap/>
            <w:vAlign w:val="center"/>
          </w:tcPr>
          <w:p w14:paraId="2100264E">
            <w:pPr>
              <w:suppressAutoHyphens/>
              <w:snapToGrid w:val="0"/>
              <w:spacing w:line="460" w:lineRule="exact"/>
              <w:jc w:val="center"/>
              <w:rPr>
                <w:rFonts w:ascii="仿宋_GB2312" w:hAnsi="仿宋_GB2312" w:eastAsia="仿宋_GB2312" w:cs="仿宋_GB2312"/>
                <w:position w:val="6"/>
                <w:sz w:val="24"/>
                <w:szCs w:val="24"/>
              </w:rPr>
            </w:pPr>
          </w:p>
        </w:tc>
        <w:tc>
          <w:tcPr>
            <w:tcW w:w="1950" w:type="dxa"/>
            <w:tcBorders>
              <w:top w:val="single" w:color="auto" w:sz="4" w:space="0"/>
              <w:left w:val="single" w:color="auto" w:sz="4" w:space="0"/>
              <w:bottom w:val="single" w:color="auto" w:sz="4" w:space="0"/>
              <w:right w:val="single" w:color="auto" w:sz="4" w:space="0"/>
            </w:tcBorders>
            <w:noWrap/>
            <w:vAlign w:val="center"/>
          </w:tcPr>
          <w:p w14:paraId="13F70EB0">
            <w:pPr>
              <w:suppressAutoHyphens/>
              <w:snapToGrid w:val="0"/>
              <w:spacing w:line="460" w:lineRule="exact"/>
              <w:jc w:val="center"/>
              <w:rPr>
                <w:rFonts w:hint="eastAsia" w:ascii="仿宋_GB2312" w:hAnsi="仿宋_GB2312" w:eastAsia="仿宋_GB2312" w:cs="仿宋_GB2312"/>
                <w:spacing w:val="-20"/>
                <w:position w:val="6"/>
                <w:sz w:val="24"/>
                <w:szCs w:val="24"/>
              </w:rPr>
            </w:pPr>
            <w:r>
              <w:rPr>
                <w:rFonts w:hint="eastAsia" w:ascii="仿宋_GB2312" w:hAnsi="仿宋_GB2312" w:eastAsia="仿宋_GB2312" w:cs="仿宋_GB2312"/>
                <w:spacing w:val="-20"/>
                <w:position w:val="6"/>
                <w:sz w:val="24"/>
                <w:szCs w:val="24"/>
              </w:rPr>
              <w:t>统一社会信用代码</w:t>
            </w:r>
          </w:p>
        </w:tc>
        <w:tc>
          <w:tcPr>
            <w:tcW w:w="2076" w:type="dxa"/>
            <w:tcBorders>
              <w:top w:val="single" w:color="auto" w:sz="4" w:space="0"/>
              <w:left w:val="single" w:color="auto" w:sz="4" w:space="0"/>
              <w:bottom w:val="single" w:color="auto" w:sz="4" w:space="0"/>
              <w:right w:val="single" w:color="auto" w:sz="4" w:space="0"/>
            </w:tcBorders>
            <w:noWrap/>
            <w:vAlign w:val="center"/>
          </w:tcPr>
          <w:p w14:paraId="0A0D4BD3">
            <w:pPr>
              <w:suppressAutoHyphens/>
              <w:spacing w:line="460" w:lineRule="exact"/>
              <w:jc w:val="center"/>
              <w:rPr>
                <w:rFonts w:ascii="仿宋_GB2312" w:hAnsi="仿宋_GB2312" w:eastAsia="仿宋_GB2312" w:cs="仿宋_GB2312"/>
                <w:position w:val="6"/>
                <w:sz w:val="24"/>
                <w:szCs w:val="24"/>
              </w:rPr>
            </w:pPr>
          </w:p>
        </w:tc>
      </w:tr>
      <w:tr w14:paraId="13CF941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vMerge w:val="continue"/>
            <w:tcBorders>
              <w:top w:val="single" w:color="auto" w:sz="4" w:space="0"/>
              <w:left w:val="single" w:color="auto" w:sz="4" w:space="0"/>
              <w:bottom w:val="single" w:color="auto" w:sz="4" w:space="0"/>
              <w:right w:val="single" w:color="auto" w:sz="4" w:space="0"/>
            </w:tcBorders>
            <w:noWrap/>
            <w:vAlign w:val="center"/>
          </w:tcPr>
          <w:p w14:paraId="6AE6052E">
            <w:pPr>
              <w:suppressAutoHyphens/>
              <w:spacing w:line="460" w:lineRule="exact"/>
              <w:jc w:val="center"/>
              <w:rPr>
                <w:rFonts w:ascii="Calibri" w:hAnsi="Calibri" w:eastAsia="仿宋_GB2312"/>
                <w:position w:val="6"/>
                <w:sz w:val="28"/>
                <w:szCs w:val="22"/>
              </w:rPr>
            </w:pPr>
          </w:p>
        </w:tc>
        <w:tc>
          <w:tcPr>
            <w:tcW w:w="1438" w:type="dxa"/>
            <w:tcBorders>
              <w:top w:val="single" w:color="auto" w:sz="4" w:space="0"/>
              <w:left w:val="single" w:color="auto" w:sz="4" w:space="0"/>
              <w:bottom w:val="single" w:color="auto" w:sz="4" w:space="0"/>
              <w:right w:val="single" w:color="auto" w:sz="4" w:space="0"/>
            </w:tcBorders>
            <w:noWrap/>
            <w:vAlign w:val="center"/>
          </w:tcPr>
          <w:p w14:paraId="77B57821">
            <w:pPr>
              <w:suppressAutoHyphens/>
              <w:snapToGrid w:val="0"/>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注册地址</w:t>
            </w:r>
          </w:p>
        </w:tc>
        <w:tc>
          <w:tcPr>
            <w:tcW w:w="6871" w:type="dxa"/>
            <w:gridSpan w:val="4"/>
            <w:tcBorders>
              <w:top w:val="single" w:color="auto" w:sz="4" w:space="0"/>
              <w:left w:val="single" w:color="auto" w:sz="4" w:space="0"/>
              <w:bottom w:val="single" w:color="auto" w:sz="4" w:space="0"/>
              <w:right w:val="single" w:color="auto" w:sz="4" w:space="0"/>
            </w:tcBorders>
            <w:noWrap/>
            <w:vAlign w:val="center"/>
          </w:tcPr>
          <w:p w14:paraId="1923D6C1">
            <w:pPr>
              <w:suppressAutoHyphens/>
              <w:spacing w:line="460" w:lineRule="exact"/>
              <w:jc w:val="center"/>
              <w:rPr>
                <w:rFonts w:ascii="仿宋_GB2312" w:hAnsi="仿宋_GB2312" w:eastAsia="仿宋_GB2312" w:cs="仿宋_GB2312"/>
                <w:position w:val="6"/>
                <w:sz w:val="24"/>
                <w:szCs w:val="24"/>
              </w:rPr>
            </w:pPr>
          </w:p>
        </w:tc>
      </w:tr>
      <w:tr w14:paraId="1291FEA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vMerge w:val="continue"/>
            <w:tcBorders>
              <w:top w:val="single" w:color="auto" w:sz="4" w:space="0"/>
              <w:left w:val="single" w:color="auto" w:sz="4" w:space="0"/>
              <w:bottom w:val="single" w:color="auto" w:sz="4" w:space="0"/>
              <w:right w:val="single" w:color="auto" w:sz="4" w:space="0"/>
            </w:tcBorders>
            <w:noWrap/>
            <w:vAlign w:val="center"/>
          </w:tcPr>
          <w:p w14:paraId="3871FEED">
            <w:pPr>
              <w:widowControl/>
              <w:suppressAutoHyphens/>
              <w:spacing w:line="460" w:lineRule="exact"/>
              <w:jc w:val="center"/>
              <w:rPr>
                <w:rFonts w:ascii="Calibri" w:hAnsi="Calibri" w:eastAsia="仿宋_GB2312"/>
                <w:position w:val="6"/>
                <w:sz w:val="28"/>
                <w:szCs w:val="24"/>
              </w:rPr>
            </w:pPr>
          </w:p>
        </w:tc>
        <w:tc>
          <w:tcPr>
            <w:tcW w:w="1438" w:type="dxa"/>
            <w:vMerge w:val="restart"/>
            <w:tcBorders>
              <w:top w:val="single" w:color="auto" w:sz="4" w:space="0"/>
              <w:left w:val="single" w:color="auto" w:sz="4" w:space="0"/>
              <w:bottom w:val="single" w:color="auto" w:sz="4" w:space="0"/>
              <w:right w:val="single" w:color="auto" w:sz="4" w:space="0"/>
            </w:tcBorders>
            <w:noWrap/>
            <w:vAlign w:val="center"/>
          </w:tcPr>
          <w:p w14:paraId="31EA89CF">
            <w:pPr>
              <w:suppressAutoHyphens/>
              <w:snapToGrid w:val="0"/>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联系方式</w:t>
            </w:r>
          </w:p>
        </w:tc>
        <w:tc>
          <w:tcPr>
            <w:tcW w:w="1426" w:type="dxa"/>
            <w:tcBorders>
              <w:top w:val="single" w:color="auto" w:sz="4" w:space="0"/>
              <w:left w:val="single" w:color="auto" w:sz="4" w:space="0"/>
              <w:bottom w:val="single" w:color="auto" w:sz="4" w:space="0"/>
              <w:right w:val="single" w:color="auto" w:sz="4" w:space="0"/>
            </w:tcBorders>
            <w:noWrap/>
            <w:vAlign w:val="center"/>
          </w:tcPr>
          <w:p w14:paraId="368F1A6A">
            <w:pPr>
              <w:suppressAutoHyphens/>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姓    名</w:t>
            </w:r>
          </w:p>
        </w:tc>
        <w:tc>
          <w:tcPr>
            <w:tcW w:w="1419" w:type="dxa"/>
            <w:tcBorders>
              <w:top w:val="single" w:color="auto" w:sz="4" w:space="0"/>
              <w:left w:val="single" w:color="auto" w:sz="4" w:space="0"/>
              <w:bottom w:val="single" w:color="auto" w:sz="4" w:space="0"/>
              <w:right w:val="single" w:color="auto" w:sz="4" w:space="0"/>
            </w:tcBorders>
            <w:noWrap/>
            <w:vAlign w:val="center"/>
          </w:tcPr>
          <w:p w14:paraId="2639F126">
            <w:pPr>
              <w:suppressAutoHyphens/>
              <w:snapToGrid w:val="0"/>
              <w:spacing w:line="460" w:lineRule="exact"/>
              <w:jc w:val="center"/>
              <w:rPr>
                <w:rFonts w:ascii="仿宋_GB2312" w:hAnsi="仿宋_GB2312" w:eastAsia="仿宋_GB2312" w:cs="仿宋_GB2312"/>
                <w:position w:val="6"/>
                <w:sz w:val="24"/>
                <w:szCs w:val="24"/>
              </w:rPr>
            </w:pPr>
          </w:p>
        </w:tc>
        <w:tc>
          <w:tcPr>
            <w:tcW w:w="1950" w:type="dxa"/>
            <w:tcBorders>
              <w:top w:val="single" w:color="auto" w:sz="4" w:space="0"/>
              <w:left w:val="single" w:color="auto" w:sz="4" w:space="0"/>
              <w:bottom w:val="single" w:color="auto" w:sz="4" w:space="0"/>
              <w:right w:val="single" w:color="auto" w:sz="4" w:space="0"/>
            </w:tcBorders>
            <w:noWrap/>
            <w:vAlign w:val="center"/>
          </w:tcPr>
          <w:p w14:paraId="42E63E37">
            <w:pPr>
              <w:widowControl/>
              <w:suppressAutoHyphens/>
              <w:spacing w:line="460" w:lineRule="exact"/>
              <w:jc w:val="center"/>
              <w:rPr>
                <w:rFonts w:ascii="仿宋_GB2312" w:hAnsi="仿宋_GB2312" w:eastAsia="仿宋_GB2312" w:cs="仿宋_GB2312"/>
                <w:spacing w:val="-20"/>
                <w:position w:val="6"/>
                <w:sz w:val="24"/>
                <w:szCs w:val="24"/>
              </w:rPr>
            </w:pPr>
            <w:r>
              <w:rPr>
                <w:rFonts w:hint="eastAsia" w:ascii="仿宋_GB2312" w:hAnsi="仿宋_GB2312" w:eastAsia="仿宋_GB2312" w:cs="仿宋_GB2312"/>
                <w:spacing w:val="-20"/>
                <w:position w:val="6"/>
                <w:sz w:val="24"/>
                <w:szCs w:val="24"/>
              </w:rPr>
              <w:t>联系电话（手机）</w:t>
            </w:r>
          </w:p>
        </w:tc>
        <w:tc>
          <w:tcPr>
            <w:tcW w:w="2076" w:type="dxa"/>
            <w:tcBorders>
              <w:top w:val="single" w:color="auto" w:sz="4" w:space="0"/>
              <w:left w:val="single" w:color="auto" w:sz="4" w:space="0"/>
              <w:bottom w:val="single" w:color="auto" w:sz="4" w:space="0"/>
              <w:right w:val="single" w:color="auto" w:sz="4" w:space="0"/>
            </w:tcBorders>
            <w:noWrap/>
            <w:vAlign w:val="center"/>
          </w:tcPr>
          <w:p w14:paraId="6B89770A">
            <w:pPr>
              <w:widowControl/>
              <w:suppressAutoHyphens/>
              <w:spacing w:line="460" w:lineRule="exact"/>
              <w:jc w:val="center"/>
              <w:rPr>
                <w:rFonts w:ascii="仿宋_GB2312" w:hAnsi="仿宋_GB2312" w:eastAsia="仿宋_GB2312" w:cs="仿宋_GB2312"/>
                <w:position w:val="6"/>
                <w:sz w:val="24"/>
                <w:szCs w:val="24"/>
              </w:rPr>
            </w:pPr>
          </w:p>
        </w:tc>
      </w:tr>
      <w:tr w14:paraId="411B0E2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vMerge w:val="continue"/>
            <w:tcBorders>
              <w:top w:val="single" w:color="auto" w:sz="4" w:space="0"/>
              <w:left w:val="single" w:color="auto" w:sz="4" w:space="0"/>
              <w:bottom w:val="single" w:color="auto" w:sz="4" w:space="0"/>
              <w:right w:val="single" w:color="auto" w:sz="4" w:space="0"/>
            </w:tcBorders>
            <w:noWrap/>
            <w:vAlign w:val="center"/>
          </w:tcPr>
          <w:p w14:paraId="1CECBC2D">
            <w:pPr>
              <w:widowControl/>
              <w:suppressAutoHyphens/>
              <w:spacing w:line="460" w:lineRule="exact"/>
              <w:jc w:val="center"/>
              <w:rPr>
                <w:rFonts w:ascii="Calibri" w:hAnsi="Calibri" w:eastAsia="仿宋_GB2312"/>
                <w:position w:val="6"/>
                <w:sz w:val="28"/>
                <w:szCs w:val="24"/>
              </w:rPr>
            </w:pPr>
          </w:p>
        </w:tc>
        <w:tc>
          <w:tcPr>
            <w:tcW w:w="1438" w:type="dxa"/>
            <w:vMerge w:val="continue"/>
            <w:tcBorders>
              <w:top w:val="single" w:color="auto" w:sz="4" w:space="0"/>
              <w:left w:val="single" w:color="auto" w:sz="4" w:space="0"/>
              <w:bottom w:val="single" w:color="auto" w:sz="4" w:space="0"/>
              <w:right w:val="single" w:color="auto" w:sz="4" w:space="0"/>
            </w:tcBorders>
            <w:noWrap/>
            <w:vAlign w:val="center"/>
          </w:tcPr>
          <w:p w14:paraId="64833A09">
            <w:pPr>
              <w:suppressAutoHyphens/>
              <w:snapToGrid w:val="0"/>
              <w:spacing w:line="460" w:lineRule="exact"/>
              <w:jc w:val="center"/>
              <w:rPr>
                <w:rFonts w:ascii="仿宋_GB2312" w:hAnsi="仿宋_GB2312" w:eastAsia="仿宋_GB2312" w:cs="仿宋_GB2312"/>
                <w:position w:val="6"/>
                <w:sz w:val="24"/>
                <w:szCs w:val="24"/>
              </w:rPr>
            </w:pPr>
          </w:p>
        </w:tc>
        <w:tc>
          <w:tcPr>
            <w:tcW w:w="1426" w:type="dxa"/>
            <w:tcBorders>
              <w:top w:val="single" w:color="auto" w:sz="4" w:space="0"/>
              <w:left w:val="single" w:color="auto" w:sz="4" w:space="0"/>
              <w:bottom w:val="single" w:color="auto" w:sz="4" w:space="0"/>
              <w:right w:val="single" w:color="auto" w:sz="4" w:space="0"/>
            </w:tcBorders>
            <w:noWrap/>
            <w:vAlign w:val="center"/>
          </w:tcPr>
          <w:p w14:paraId="3200B061">
            <w:pPr>
              <w:suppressAutoHyphens/>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电子邮件</w:t>
            </w:r>
          </w:p>
        </w:tc>
        <w:tc>
          <w:tcPr>
            <w:tcW w:w="5445" w:type="dxa"/>
            <w:gridSpan w:val="3"/>
            <w:tcBorders>
              <w:top w:val="single" w:color="auto" w:sz="4" w:space="0"/>
              <w:left w:val="single" w:color="auto" w:sz="4" w:space="0"/>
              <w:bottom w:val="single" w:color="auto" w:sz="4" w:space="0"/>
              <w:right w:val="single" w:color="auto" w:sz="4" w:space="0"/>
            </w:tcBorders>
            <w:noWrap/>
            <w:vAlign w:val="center"/>
          </w:tcPr>
          <w:p w14:paraId="2369A32F">
            <w:pPr>
              <w:widowControl/>
              <w:suppressAutoHyphens/>
              <w:spacing w:line="460" w:lineRule="exact"/>
              <w:jc w:val="center"/>
              <w:rPr>
                <w:rFonts w:ascii="仿宋_GB2312" w:hAnsi="仿宋_GB2312" w:eastAsia="仿宋_GB2312" w:cs="仿宋_GB2312"/>
                <w:position w:val="6"/>
                <w:sz w:val="24"/>
                <w:szCs w:val="24"/>
              </w:rPr>
            </w:pPr>
          </w:p>
        </w:tc>
      </w:tr>
      <w:tr w14:paraId="2FE6692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vMerge w:val="continue"/>
            <w:tcBorders>
              <w:top w:val="single" w:color="auto" w:sz="4" w:space="0"/>
              <w:left w:val="single" w:color="auto" w:sz="4" w:space="0"/>
              <w:bottom w:val="single" w:color="auto" w:sz="4" w:space="0"/>
              <w:right w:val="single" w:color="auto" w:sz="4" w:space="0"/>
            </w:tcBorders>
            <w:noWrap/>
            <w:vAlign w:val="center"/>
          </w:tcPr>
          <w:p w14:paraId="0077B65E">
            <w:pPr>
              <w:widowControl/>
              <w:suppressAutoHyphens/>
              <w:spacing w:line="460" w:lineRule="exact"/>
              <w:jc w:val="center"/>
              <w:rPr>
                <w:rFonts w:ascii="Calibri" w:hAnsi="Calibri" w:eastAsia="仿宋_GB2312"/>
                <w:position w:val="6"/>
                <w:sz w:val="28"/>
                <w:szCs w:val="24"/>
              </w:rPr>
            </w:pPr>
          </w:p>
        </w:tc>
        <w:tc>
          <w:tcPr>
            <w:tcW w:w="1438" w:type="dxa"/>
            <w:vMerge w:val="restart"/>
            <w:tcBorders>
              <w:top w:val="single" w:color="auto" w:sz="4" w:space="0"/>
              <w:left w:val="single" w:color="auto" w:sz="4" w:space="0"/>
              <w:bottom w:val="single" w:color="auto" w:sz="4" w:space="0"/>
              <w:right w:val="single" w:color="auto" w:sz="4" w:space="0"/>
            </w:tcBorders>
            <w:noWrap/>
            <w:vAlign w:val="center"/>
          </w:tcPr>
          <w:p w14:paraId="308AA5E2">
            <w:pPr>
              <w:suppressAutoHyphens/>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银行账号</w:t>
            </w:r>
          </w:p>
        </w:tc>
        <w:tc>
          <w:tcPr>
            <w:tcW w:w="1426" w:type="dxa"/>
            <w:tcBorders>
              <w:top w:val="single" w:color="auto" w:sz="4" w:space="0"/>
              <w:left w:val="single" w:color="auto" w:sz="4" w:space="0"/>
              <w:bottom w:val="single" w:color="auto" w:sz="4" w:space="0"/>
              <w:right w:val="single" w:color="auto" w:sz="4" w:space="0"/>
            </w:tcBorders>
            <w:noWrap/>
            <w:vAlign w:val="center"/>
          </w:tcPr>
          <w:p w14:paraId="49D98438">
            <w:pPr>
              <w:suppressAutoHyphens/>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账    户</w:t>
            </w:r>
          </w:p>
        </w:tc>
        <w:tc>
          <w:tcPr>
            <w:tcW w:w="5445" w:type="dxa"/>
            <w:gridSpan w:val="3"/>
            <w:tcBorders>
              <w:top w:val="single" w:color="auto" w:sz="4" w:space="0"/>
              <w:left w:val="single" w:color="auto" w:sz="4" w:space="0"/>
              <w:bottom w:val="single" w:color="auto" w:sz="4" w:space="0"/>
              <w:right w:val="single" w:color="auto" w:sz="4" w:space="0"/>
            </w:tcBorders>
            <w:noWrap/>
            <w:vAlign w:val="center"/>
          </w:tcPr>
          <w:p w14:paraId="6A89D8D3">
            <w:pPr>
              <w:widowControl/>
              <w:suppressAutoHyphens/>
              <w:spacing w:line="460" w:lineRule="exact"/>
              <w:jc w:val="right"/>
              <w:rPr>
                <w:rFonts w:ascii="仿宋_GB2312" w:hAnsi="仿宋_GB2312" w:eastAsia="仿宋_GB2312" w:cs="仿宋_GB2312"/>
                <w:position w:val="6"/>
                <w:sz w:val="24"/>
                <w:szCs w:val="24"/>
              </w:rPr>
            </w:pPr>
          </w:p>
        </w:tc>
      </w:tr>
      <w:tr w14:paraId="2E5EA1C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vMerge w:val="continue"/>
            <w:tcBorders>
              <w:top w:val="single" w:color="auto" w:sz="4" w:space="0"/>
              <w:left w:val="single" w:color="auto" w:sz="4" w:space="0"/>
              <w:bottom w:val="single" w:color="auto" w:sz="4" w:space="0"/>
              <w:right w:val="single" w:color="auto" w:sz="4" w:space="0"/>
            </w:tcBorders>
            <w:noWrap/>
            <w:vAlign w:val="center"/>
          </w:tcPr>
          <w:p w14:paraId="6584B90C">
            <w:pPr>
              <w:widowControl/>
              <w:suppressAutoHyphens/>
              <w:spacing w:line="460" w:lineRule="exact"/>
              <w:jc w:val="center"/>
              <w:rPr>
                <w:rFonts w:ascii="Calibri" w:hAnsi="Calibri" w:eastAsia="仿宋_GB2312"/>
                <w:position w:val="6"/>
                <w:sz w:val="28"/>
                <w:szCs w:val="24"/>
              </w:rPr>
            </w:pPr>
          </w:p>
        </w:tc>
        <w:tc>
          <w:tcPr>
            <w:tcW w:w="1438" w:type="dxa"/>
            <w:vMerge w:val="continue"/>
            <w:tcBorders>
              <w:top w:val="single" w:color="auto" w:sz="4" w:space="0"/>
              <w:left w:val="single" w:color="auto" w:sz="4" w:space="0"/>
              <w:bottom w:val="single" w:color="auto" w:sz="4" w:space="0"/>
              <w:right w:val="single" w:color="auto" w:sz="4" w:space="0"/>
            </w:tcBorders>
            <w:noWrap/>
            <w:vAlign w:val="center"/>
          </w:tcPr>
          <w:p w14:paraId="13DA57CD">
            <w:pPr>
              <w:suppressAutoHyphens/>
              <w:spacing w:line="460" w:lineRule="exact"/>
              <w:jc w:val="center"/>
              <w:rPr>
                <w:rFonts w:ascii="仿宋_GB2312" w:hAnsi="仿宋_GB2312" w:eastAsia="仿宋_GB2312" w:cs="仿宋_GB2312"/>
                <w:position w:val="6"/>
                <w:sz w:val="24"/>
                <w:szCs w:val="24"/>
              </w:rPr>
            </w:pPr>
          </w:p>
        </w:tc>
        <w:tc>
          <w:tcPr>
            <w:tcW w:w="1426" w:type="dxa"/>
            <w:tcBorders>
              <w:top w:val="single" w:color="auto" w:sz="4" w:space="0"/>
              <w:left w:val="single" w:color="auto" w:sz="4" w:space="0"/>
              <w:bottom w:val="single" w:color="auto" w:sz="4" w:space="0"/>
              <w:right w:val="single" w:color="auto" w:sz="4" w:space="0"/>
            </w:tcBorders>
            <w:noWrap/>
            <w:vAlign w:val="center"/>
          </w:tcPr>
          <w:p w14:paraId="602A9699">
            <w:pPr>
              <w:suppressAutoHyphens/>
              <w:spacing w:line="460" w:lineRule="exact"/>
              <w:jc w:val="center"/>
              <w:rPr>
                <w:rFonts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开户银行</w:t>
            </w:r>
          </w:p>
        </w:tc>
        <w:tc>
          <w:tcPr>
            <w:tcW w:w="5445" w:type="dxa"/>
            <w:gridSpan w:val="3"/>
            <w:tcBorders>
              <w:top w:val="single" w:color="auto" w:sz="4" w:space="0"/>
              <w:left w:val="single" w:color="auto" w:sz="4" w:space="0"/>
              <w:bottom w:val="single" w:color="auto" w:sz="4" w:space="0"/>
              <w:right w:val="single" w:color="auto" w:sz="4" w:space="0"/>
            </w:tcBorders>
            <w:noWrap/>
            <w:vAlign w:val="center"/>
          </w:tcPr>
          <w:p w14:paraId="1DE24A41">
            <w:pPr>
              <w:widowControl/>
              <w:suppressAutoHyphens/>
              <w:spacing w:line="460" w:lineRule="exact"/>
              <w:jc w:val="right"/>
              <w:rPr>
                <w:rFonts w:ascii="仿宋_GB2312" w:hAnsi="仿宋_GB2312" w:eastAsia="仿宋_GB2312" w:cs="仿宋_GB2312"/>
                <w:position w:val="6"/>
                <w:sz w:val="24"/>
                <w:szCs w:val="24"/>
              </w:rPr>
            </w:pPr>
          </w:p>
        </w:tc>
      </w:tr>
      <w:tr w14:paraId="117D3AD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561" w:hRule="atLeast"/>
          <w:jc w:val="center"/>
        </w:trPr>
        <w:tc>
          <w:tcPr>
            <w:tcW w:w="795" w:type="dxa"/>
            <w:tcBorders>
              <w:top w:val="single" w:color="auto" w:sz="4" w:space="0"/>
              <w:left w:val="single" w:color="auto" w:sz="4" w:space="0"/>
              <w:bottom w:val="single" w:color="auto" w:sz="4" w:space="0"/>
              <w:right w:val="single" w:color="auto" w:sz="4" w:space="0"/>
            </w:tcBorders>
            <w:noWrap/>
            <w:vAlign w:val="center"/>
          </w:tcPr>
          <w:p w14:paraId="7DE3E1FF">
            <w:pPr>
              <w:widowControl/>
              <w:suppressAutoHyphens/>
              <w:spacing w:line="460" w:lineRule="exact"/>
              <w:jc w:val="center"/>
              <w:rPr>
                <w:rFonts w:hint="eastAsia" w:ascii="Calibri" w:hAnsi="Calibri" w:eastAsia="仿宋_GB2312"/>
                <w:position w:val="6"/>
                <w:sz w:val="28"/>
                <w:szCs w:val="24"/>
              </w:rPr>
            </w:pPr>
            <w:r>
              <w:rPr>
                <w:rFonts w:hint="eastAsia" w:ascii="黑体" w:hAnsi="黑体" w:eastAsia="黑体" w:cs="黑体"/>
                <w:position w:val="6"/>
                <w:sz w:val="28"/>
                <w:szCs w:val="22"/>
              </w:rPr>
              <w:t>申请经费</w:t>
            </w:r>
          </w:p>
        </w:tc>
        <w:tc>
          <w:tcPr>
            <w:tcW w:w="1438" w:type="dxa"/>
            <w:tcBorders>
              <w:top w:val="single" w:color="auto" w:sz="4" w:space="0"/>
              <w:left w:val="single" w:color="auto" w:sz="4" w:space="0"/>
              <w:bottom w:val="single" w:color="auto" w:sz="4" w:space="0"/>
              <w:right w:val="single" w:color="auto" w:sz="4" w:space="0"/>
            </w:tcBorders>
            <w:noWrap/>
            <w:vAlign w:val="center"/>
          </w:tcPr>
          <w:p w14:paraId="6403B195">
            <w:pPr>
              <w:suppressAutoHyphens/>
              <w:spacing w:line="460" w:lineRule="exact"/>
              <w:jc w:val="center"/>
              <w:rPr>
                <w:rFonts w:hint="eastAsia" w:ascii="仿宋_GB2312" w:hAnsi="仿宋_GB2312" w:eastAsia="仿宋_GB2312" w:cs="仿宋_GB2312"/>
                <w:position w:val="6"/>
                <w:sz w:val="24"/>
                <w:szCs w:val="24"/>
              </w:rPr>
            </w:pPr>
            <w:r>
              <w:rPr>
                <w:rFonts w:hint="eastAsia" w:ascii="仿宋_GB2312" w:hAnsi="仿宋_GB2312" w:eastAsia="仿宋_GB2312" w:cs="仿宋_GB2312"/>
                <w:position w:val="6"/>
                <w:sz w:val="24"/>
                <w:szCs w:val="24"/>
              </w:rPr>
              <w:t>金额（万元）</w:t>
            </w:r>
          </w:p>
        </w:tc>
        <w:tc>
          <w:tcPr>
            <w:tcW w:w="6871" w:type="dxa"/>
            <w:gridSpan w:val="4"/>
            <w:tcBorders>
              <w:top w:val="single" w:color="auto" w:sz="4" w:space="0"/>
              <w:left w:val="single" w:color="auto" w:sz="4" w:space="0"/>
              <w:bottom w:val="single" w:color="auto" w:sz="4" w:space="0"/>
              <w:right w:val="single" w:color="auto" w:sz="4" w:space="0"/>
            </w:tcBorders>
            <w:noWrap/>
            <w:vAlign w:val="center"/>
          </w:tcPr>
          <w:p w14:paraId="1F2ABFED">
            <w:pPr>
              <w:widowControl/>
              <w:suppressAutoHyphens/>
              <w:spacing w:line="460" w:lineRule="exact"/>
              <w:jc w:val="right"/>
              <w:rPr>
                <w:rFonts w:ascii="仿宋_GB2312" w:hAnsi="仿宋_GB2312" w:eastAsia="仿宋_GB2312" w:cs="仿宋_GB2312"/>
                <w:position w:val="6"/>
                <w:sz w:val="24"/>
                <w:szCs w:val="24"/>
              </w:rPr>
            </w:pPr>
          </w:p>
        </w:tc>
      </w:tr>
      <w:tr w14:paraId="26E2F9A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cantSplit/>
          <w:trHeight w:val="6284" w:hRule="exact"/>
          <w:jc w:val="center"/>
        </w:trPr>
        <w:tc>
          <w:tcPr>
            <w:tcW w:w="9104" w:type="dxa"/>
            <w:gridSpan w:val="6"/>
            <w:tcBorders>
              <w:top w:val="single" w:color="auto" w:sz="4" w:space="0"/>
              <w:left w:val="single" w:color="auto" w:sz="4" w:space="0"/>
              <w:bottom w:val="single" w:color="auto" w:sz="4" w:space="0"/>
              <w:right w:val="single" w:color="auto" w:sz="4" w:space="0"/>
            </w:tcBorders>
            <w:noWrap/>
            <w:vAlign w:val="top"/>
          </w:tcPr>
          <w:p w14:paraId="60772351">
            <w:pPr>
              <w:suppressAutoHyphens/>
              <w:spacing w:line="460" w:lineRule="exact"/>
              <w:rPr>
                <w:rFonts w:ascii="Calibri" w:hAnsi="Calibri" w:eastAsia="仿宋_GB2312"/>
                <w:b/>
                <w:position w:val="6"/>
                <w:sz w:val="28"/>
                <w:szCs w:val="22"/>
              </w:rPr>
            </w:pPr>
            <w:r>
              <w:rPr>
                <w:rFonts w:hint="eastAsia" w:ascii="Calibri" w:hAnsi="Calibri" w:eastAsia="仿宋_GB2312"/>
                <w:b/>
                <w:position w:val="6"/>
                <w:sz w:val="28"/>
                <w:szCs w:val="22"/>
              </w:rPr>
              <w:t>申请单位承诺：</w:t>
            </w:r>
          </w:p>
          <w:p w14:paraId="1C40877A">
            <w:pPr>
              <w:suppressAutoHyphens/>
              <w:spacing w:line="460" w:lineRule="exact"/>
              <w:rPr>
                <w:rFonts w:ascii="仿宋_GB2312" w:hAnsi="仿宋_GB2312" w:eastAsia="仿宋_GB2312" w:cs="仿宋_GB2312"/>
                <w:sz w:val="24"/>
                <w:szCs w:val="22"/>
              </w:rPr>
            </w:pPr>
            <w:r>
              <w:rPr>
                <w:rFonts w:hint="eastAsia" w:ascii="仿宋_GB2312" w:hAnsi="仿宋_GB2312" w:eastAsia="仿宋_GB2312" w:cs="仿宋_GB2312"/>
                <w:sz w:val="24"/>
                <w:szCs w:val="22"/>
              </w:rPr>
              <w:t>1.提供的所有材料、单据是准确、真实、完整和有效的；</w:t>
            </w:r>
          </w:p>
          <w:p w14:paraId="12D05B5A">
            <w:pPr>
              <w:suppressAutoHyphens/>
              <w:spacing w:line="460" w:lineRule="exact"/>
              <w:rPr>
                <w:rFonts w:ascii="仿宋_GB2312" w:hAnsi="仿宋_GB2312" w:eastAsia="仿宋_GB2312" w:cs="仿宋_GB2312"/>
                <w:sz w:val="24"/>
                <w:szCs w:val="22"/>
              </w:rPr>
            </w:pPr>
            <w:r>
              <w:rPr>
                <w:rFonts w:hint="eastAsia" w:ascii="仿宋_GB2312" w:hAnsi="仿宋_GB2312" w:eastAsia="仿宋_GB2312" w:cs="仿宋_GB2312"/>
                <w:sz w:val="24"/>
                <w:szCs w:val="22"/>
              </w:rPr>
              <w:t>2.提供的所有复印件均与原件核对，完全一致；</w:t>
            </w:r>
          </w:p>
          <w:p w14:paraId="3A8A14E1">
            <w:pPr>
              <w:suppressAutoHyphens/>
              <w:spacing w:line="460" w:lineRule="exact"/>
              <w:rPr>
                <w:rFonts w:ascii="仿宋_GB2312" w:hAnsi="仿宋_GB2312" w:eastAsia="仿宋_GB2312" w:cs="仿宋_GB2312"/>
                <w:sz w:val="24"/>
                <w:szCs w:val="22"/>
              </w:rPr>
            </w:pPr>
            <w:r>
              <w:rPr>
                <w:rFonts w:hint="eastAsia" w:ascii="仿宋_GB2312" w:hAnsi="仿宋_GB2312" w:eastAsia="仿宋_GB2312" w:cs="仿宋_GB2312"/>
                <w:sz w:val="24"/>
                <w:szCs w:val="22"/>
              </w:rPr>
              <w:t>3.承诺接受有关主管部门为审核本申请而进行的必要核查和相关法律责任；</w:t>
            </w:r>
          </w:p>
          <w:p w14:paraId="35039526">
            <w:pPr>
              <w:suppressAutoHyphens/>
              <w:spacing w:line="460" w:lineRule="exact"/>
              <w:rPr>
                <w:rFonts w:hint="eastAsia" w:ascii="仿宋_GB2312" w:hAnsi="仿宋_GB2312" w:eastAsia="仿宋_GB2312" w:cs="仿宋_GB2312"/>
                <w:sz w:val="24"/>
                <w:szCs w:val="22"/>
              </w:rPr>
            </w:pPr>
            <w:r>
              <w:rPr>
                <w:rFonts w:hint="eastAsia" w:ascii="仿宋_GB2312" w:hAnsi="仿宋_GB2312" w:eastAsia="仿宋_GB2312" w:cs="仿宋_GB2312"/>
                <w:sz w:val="24"/>
                <w:szCs w:val="22"/>
              </w:rPr>
              <w:t>4.所申请的专项资金项目未曾通过其它途径获得过财政资金支持。</w:t>
            </w:r>
          </w:p>
          <w:p w14:paraId="749E1C2A">
            <w:pPr>
              <w:suppressAutoHyphens/>
              <w:spacing w:line="460" w:lineRule="exact"/>
              <w:rPr>
                <w:rFonts w:hint="eastAsia" w:ascii="Calibri" w:hAnsi="Calibri" w:eastAsia="仿宋_GB2312"/>
                <w:b/>
                <w:position w:val="6"/>
                <w:sz w:val="28"/>
                <w:szCs w:val="22"/>
              </w:rPr>
            </w:pPr>
          </w:p>
          <w:p w14:paraId="6E26D321">
            <w:pPr>
              <w:suppressAutoHyphens/>
              <w:spacing w:line="460" w:lineRule="exact"/>
              <w:rPr>
                <w:rFonts w:ascii="Calibri" w:hAnsi="Calibri" w:eastAsia="仿宋_GB2312"/>
                <w:b/>
                <w:position w:val="6"/>
                <w:sz w:val="28"/>
                <w:szCs w:val="22"/>
              </w:rPr>
            </w:pPr>
            <w:r>
              <w:rPr>
                <w:rFonts w:hint="eastAsia" w:ascii="Calibri" w:hAnsi="Calibri" w:eastAsia="仿宋_GB2312"/>
                <w:b/>
                <w:position w:val="6"/>
                <w:sz w:val="28"/>
                <w:szCs w:val="22"/>
              </w:rPr>
              <w:t>单位法人代表（或授权代表）签字</w:t>
            </w:r>
            <w:r>
              <w:rPr>
                <w:rFonts w:ascii="Calibri" w:hAnsi="Calibri" w:eastAsia="仿宋_GB2312"/>
                <w:b/>
                <w:position w:val="6"/>
                <w:sz w:val="28"/>
                <w:szCs w:val="22"/>
              </w:rPr>
              <w:t>：</w:t>
            </w:r>
          </w:p>
          <w:p w14:paraId="42B2667E">
            <w:pPr>
              <w:suppressAutoHyphens/>
              <w:spacing w:line="460" w:lineRule="exact"/>
              <w:ind w:firstLine="280" w:firstLineChars="100"/>
              <w:rPr>
                <w:rFonts w:ascii="仿宋_GB2312" w:hAnsi="Calibri" w:eastAsia="仿宋_GB2312"/>
                <w:color w:val="000000"/>
                <w:sz w:val="28"/>
                <w:szCs w:val="28"/>
              </w:rPr>
            </w:pPr>
          </w:p>
          <w:p w14:paraId="1B1DF778">
            <w:pPr>
              <w:suppressAutoHyphens/>
              <w:spacing w:line="460" w:lineRule="exact"/>
              <w:ind w:firstLine="5880" w:firstLineChars="2100"/>
              <w:rPr>
                <w:rFonts w:hint="eastAsia" w:ascii="仿宋_GB2312" w:hAnsi="Calibri" w:eastAsia="仿宋_GB2312"/>
                <w:color w:val="000000"/>
                <w:sz w:val="28"/>
                <w:szCs w:val="28"/>
              </w:rPr>
            </w:pPr>
          </w:p>
          <w:p w14:paraId="34171F59">
            <w:pPr>
              <w:suppressAutoHyphens/>
              <w:spacing w:line="460" w:lineRule="exact"/>
              <w:ind w:right="67" w:rightChars="32" w:firstLine="5040" w:firstLineChars="1800"/>
              <w:rPr>
                <w:rFonts w:hint="eastAsia" w:ascii="仿宋_GB2312" w:hAnsi="Calibri" w:eastAsia="仿宋_GB2312"/>
                <w:color w:val="000000"/>
                <w:sz w:val="28"/>
                <w:szCs w:val="28"/>
              </w:rPr>
            </w:pPr>
          </w:p>
          <w:p w14:paraId="0FFFE32F">
            <w:pPr>
              <w:suppressAutoHyphens/>
              <w:spacing w:line="460" w:lineRule="exact"/>
              <w:ind w:right="67" w:rightChars="32" w:firstLine="5040" w:firstLineChars="1800"/>
              <w:rPr>
                <w:rFonts w:ascii="仿宋_GB2312" w:hAnsi="Calibri" w:eastAsia="仿宋_GB2312"/>
                <w:color w:val="000000"/>
                <w:sz w:val="28"/>
                <w:szCs w:val="28"/>
              </w:rPr>
            </w:pPr>
            <w:r>
              <w:rPr>
                <w:rFonts w:hint="eastAsia" w:ascii="仿宋_GB2312" w:hAnsi="Calibri" w:eastAsia="仿宋_GB2312"/>
                <w:color w:val="000000"/>
                <w:sz w:val="28"/>
                <w:szCs w:val="28"/>
              </w:rPr>
              <w:t>单位名称：（公章）</w:t>
            </w:r>
          </w:p>
          <w:p w14:paraId="488F3DEA">
            <w:pPr>
              <w:widowControl/>
              <w:suppressAutoHyphens/>
              <w:spacing w:line="460" w:lineRule="exact"/>
              <w:ind w:firstLine="5040" w:firstLineChars="1800"/>
              <w:rPr>
                <w:rFonts w:ascii="Calibri" w:hAnsi="Calibri" w:eastAsia="仿宋_GB2312"/>
                <w:b/>
                <w:position w:val="6"/>
                <w:sz w:val="28"/>
                <w:szCs w:val="24"/>
              </w:rPr>
            </w:pPr>
            <w:r>
              <w:rPr>
                <w:rFonts w:hint="eastAsia" w:ascii="Calibri" w:hAnsi="Calibri" w:eastAsia="仿宋_GB2312"/>
                <w:position w:val="6"/>
                <w:sz w:val="28"/>
                <w:szCs w:val="22"/>
              </w:rPr>
              <w:t>日期：</w:t>
            </w:r>
            <w:r>
              <w:rPr>
                <w:rFonts w:ascii="Calibri" w:hAnsi="Calibri" w:eastAsia="仿宋_GB2312"/>
                <w:position w:val="6"/>
                <w:sz w:val="28"/>
                <w:szCs w:val="22"/>
              </w:rPr>
              <w:t xml:space="preserve">    年  </w:t>
            </w:r>
            <w:r>
              <w:rPr>
                <w:rFonts w:hint="eastAsia" w:ascii="Calibri" w:hAnsi="Calibri" w:eastAsia="仿宋_GB2312"/>
                <w:position w:val="6"/>
                <w:sz w:val="28"/>
                <w:szCs w:val="22"/>
              </w:rPr>
              <w:t>月  日</w:t>
            </w:r>
          </w:p>
        </w:tc>
      </w:tr>
    </w:tbl>
    <w:p w14:paraId="64F4095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EB41B07"/>
    <w:rsid w:val="0EB41B0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 w:type="character" w:styleId="4">
    <w:name w:val="Hyperlink"/>
    <w:qFormat/>
    <w:uiPriority w:val="0"/>
    <w:rPr>
      <w:color w:val="0000FF"/>
      <w:u w:val="single"/>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2026-09-20T02:10:00Z</dcterms:created>
  <dc:creator>Anne</dc:creator>
  <cp:lastModifiedBy>Anne</cp:lastModifiedBy>
  <dcterms:modified xsi:type="dcterms:W3CDTF">2026-09-20T02:11:37Z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866ECC3FE6F84102802B35B4AF7A7629_11</vt:lpwstr>
  </property>
  <property fmtid="{D5CDD505-2E9C-101B-9397-08002B2CF9AE}" pid="4" name="KSOTemplateDocerSaveRecord">
    <vt:lpwstr>eyJoZGlkIjoiMzVmZjM3NDcwNjZlYWM0MWYxZGRiZDAzMjg1NjNlZDIiLCJ1c2VySWQiOiI1NjA2NDQ1NTEifQ==</vt:lpwstr>
  </property>
</Properties>
</file>