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90" w:beforeLines="50"/>
        <w:ind w:firstLine="0" w:firstLineChars="0"/>
        <w:jc w:val="center"/>
        <w:rPr>
          <w:rFonts w:ascii="华文中宋" w:hAnsi="华文中宋" w:eastAsia="华文中宋" w:cs="华文中宋"/>
          <w:b/>
          <w:bCs/>
          <w:sz w:val="72"/>
          <w:szCs w:val="72"/>
        </w:rPr>
      </w:pPr>
    </w:p>
    <w:p>
      <w:pPr>
        <w:spacing w:before="190" w:beforeLines="50"/>
        <w:ind w:firstLine="0" w:firstLineChars="0"/>
        <w:jc w:val="center"/>
        <w:rPr>
          <w:rFonts w:ascii="华文中宋" w:hAnsi="华文中宋" w:eastAsia="华文中宋" w:cs="华文中宋"/>
          <w:b/>
          <w:bCs/>
          <w:sz w:val="72"/>
          <w:szCs w:val="72"/>
        </w:rPr>
      </w:pPr>
    </w:p>
    <w:p>
      <w:pPr>
        <w:spacing w:before="190" w:beforeLines="50"/>
        <w:ind w:firstLine="0" w:firstLineChars="0"/>
        <w:jc w:val="center"/>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市级方舱医院和隔离用房</w:t>
      </w:r>
      <w:r>
        <w:rPr>
          <w:rFonts w:hint="eastAsia" w:ascii="方正小标宋简体" w:hAnsi="方正小标宋简体" w:eastAsia="方正小标宋简体" w:cs="方正小标宋简体"/>
          <w:b w:val="0"/>
          <w:bCs w:val="0"/>
          <w:sz w:val="72"/>
          <w:szCs w:val="72"/>
        </w:rPr>
        <w:br w:type="textWrapping"/>
      </w:r>
      <w:r>
        <w:rPr>
          <w:rFonts w:hint="eastAsia" w:ascii="方正小标宋简体" w:hAnsi="方正小标宋简体" w:eastAsia="方正小标宋简体" w:cs="方正小标宋简体"/>
          <w:b w:val="0"/>
          <w:bCs w:val="0"/>
          <w:sz w:val="72"/>
          <w:szCs w:val="72"/>
        </w:rPr>
        <w:t>建设项目结算指引</w:t>
      </w:r>
    </w:p>
    <w:p>
      <w:pPr>
        <w:spacing w:before="190" w:beforeLines="50"/>
        <w:ind w:firstLine="0" w:firstLineChars="0"/>
        <w:jc w:val="center"/>
        <w:rPr>
          <w:rFonts w:ascii="华文中宋" w:hAnsi="华文中宋" w:eastAsia="华文中宋" w:cs="华文中宋"/>
          <w:b/>
          <w:bCs/>
          <w:sz w:val="72"/>
          <w:szCs w:val="72"/>
        </w:rPr>
      </w:pPr>
    </w:p>
    <w:p>
      <w:pPr>
        <w:spacing w:before="190" w:beforeLines="50"/>
        <w:ind w:firstLine="0" w:firstLineChars="0"/>
        <w:jc w:val="center"/>
        <w:rPr>
          <w:rFonts w:ascii="华文中宋" w:hAnsi="华文中宋" w:eastAsia="华文中宋" w:cs="华文中宋"/>
          <w:b/>
          <w:bCs/>
          <w:sz w:val="72"/>
          <w:szCs w:val="72"/>
        </w:rPr>
      </w:pPr>
    </w:p>
    <w:p>
      <w:pPr>
        <w:spacing w:after="190" w:afterLines="50" w:line="240" w:lineRule="auto"/>
        <w:ind w:firstLine="0" w:firstLineChars="0"/>
        <w:jc w:val="center"/>
        <w:rPr>
          <w:rFonts w:ascii="宋体" w:hAnsi="宋体" w:cs="宋体"/>
          <w:b/>
          <w:bCs/>
          <w:sz w:val="32"/>
          <w:szCs w:val="32"/>
        </w:rPr>
      </w:pPr>
    </w:p>
    <w:p>
      <w:pPr>
        <w:spacing w:after="190" w:afterLines="50"/>
        <w:ind w:firstLine="0" w:firstLineChars="0"/>
        <w:jc w:val="center"/>
        <w:rPr>
          <w:rFonts w:ascii="宋体" w:hAnsi="宋体" w:cs="宋体"/>
          <w:b/>
          <w:bCs/>
          <w:sz w:val="32"/>
          <w:szCs w:val="32"/>
        </w:rPr>
      </w:pPr>
    </w:p>
    <w:p>
      <w:pPr>
        <w:widowControl/>
        <w:spacing w:line="240" w:lineRule="auto"/>
        <w:ind w:firstLine="0" w:firstLineChars="0"/>
        <w:jc w:val="left"/>
        <w:rPr>
          <w:rFonts w:ascii="宋体" w:hAnsi="宋体"/>
          <w:sz w:val="24"/>
        </w:rPr>
      </w:pPr>
      <w:r>
        <w:rPr>
          <w:rFonts w:ascii="宋体" w:hAnsi="宋体"/>
          <w:sz w:val="24"/>
        </w:rPr>
        <w:br w:type="page"/>
      </w:r>
    </w:p>
    <w:sdt>
      <w:sdtPr>
        <w:rPr>
          <w:rFonts w:ascii="宋体" w:hAnsi="宋体"/>
          <w:sz w:val="21"/>
          <w:szCs w:val="21"/>
        </w:rPr>
        <w:id w:val="147466566"/>
        <w:docPartObj>
          <w:docPartGallery w:val="Table of Contents"/>
          <w:docPartUnique/>
        </w:docPartObj>
      </w:sdtPr>
      <w:sdtEndPr>
        <w:rPr>
          <w:rFonts w:hint="eastAsia" w:ascii="Times New Roman" w:hAnsi="Times New Roman"/>
          <w:kern w:val="0"/>
          <w:sz w:val="28"/>
          <w:szCs w:val="24"/>
        </w:rPr>
      </w:sdtEndPr>
      <w:sdtContent>
        <w:p>
          <w:pPr>
            <w:spacing w:line="440" w:lineRule="exact"/>
            <w:ind w:firstLine="0" w:firstLineChars="0"/>
            <w:jc w:val="center"/>
            <w:rPr>
              <w:rFonts w:ascii="隶书" w:hAnsi="黑体" w:eastAsia="隶书"/>
              <w:sz w:val="44"/>
              <w:szCs w:val="44"/>
            </w:rPr>
          </w:pPr>
          <w:r>
            <w:rPr>
              <w:rFonts w:hint="eastAsia" w:ascii="黑体" w:hAnsi="黑体" w:eastAsia="黑体" w:cs="黑体"/>
              <w:sz w:val="44"/>
              <w:szCs w:val="44"/>
            </w:rPr>
            <w:t>目  录</w:t>
          </w:r>
        </w:p>
        <w:p>
          <w:pPr>
            <w:pStyle w:val="11"/>
            <w:tabs>
              <w:tab w:val="right" w:leader="dot" w:pos="8296"/>
            </w:tabs>
            <w:spacing w:line="440" w:lineRule="exact"/>
            <w:ind w:firstLine="560"/>
            <w:rPr>
              <w:rFonts w:asciiTheme="minorHAnsi" w:hAnsiTheme="minorHAnsi" w:eastAsiaTheme="minorEastAsia"/>
              <w:kern w:val="0"/>
              <w:sz w:val="21"/>
              <w:szCs w:val="22"/>
            </w:rPr>
          </w:pPr>
          <w:r>
            <w:rPr>
              <w:rFonts w:hint="eastAsia"/>
              <w:kern w:val="0"/>
            </w:rPr>
            <w:fldChar w:fldCharType="begin"/>
          </w:r>
          <w:r>
            <w:rPr>
              <w:rFonts w:hint="eastAsia"/>
              <w:kern w:val="0"/>
            </w:rPr>
            <w:instrText xml:space="preserve">TOC \o "1-3" \h \u </w:instrText>
          </w:r>
          <w:r>
            <w:rPr>
              <w:rFonts w:hint="eastAsia"/>
              <w:kern w:val="0"/>
            </w:rPr>
            <w:fldChar w:fldCharType="separate"/>
          </w:r>
          <w:r>
            <w:fldChar w:fldCharType="begin"/>
          </w:r>
          <w:r>
            <w:instrText xml:space="preserve"> HYPERLINK \l "_Toc107140219" </w:instrText>
          </w:r>
          <w:r>
            <w:fldChar w:fldCharType="separate"/>
          </w:r>
          <w:r>
            <w:rPr>
              <w:rStyle w:val="18"/>
              <w:color w:val="auto"/>
              <w:kern w:val="0"/>
            </w:rPr>
            <w:t>1总则</w:t>
          </w:r>
          <w:r>
            <w:rPr>
              <w:kern w:val="0"/>
            </w:rPr>
            <w:tab/>
          </w:r>
          <w:r>
            <w:rPr>
              <w:kern w:val="0"/>
            </w:rPr>
            <w:fldChar w:fldCharType="begin"/>
          </w:r>
          <w:r>
            <w:rPr>
              <w:kern w:val="0"/>
            </w:rPr>
            <w:instrText xml:space="preserve"> PAGEREF _Toc107140219 \h </w:instrText>
          </w:r>
          <w:r>
            <w:rPr>
              <w:kern w:val="0"/>
            </w:rPr>
            <w:fldChar w:fldCharType="separate"/>
          </w:r>
          <w:r>
            <w:rPr>
              <w:kern w:val="0"/>
            </w:rPr>
            <w:t>1</w:t>
          </w:r>
          <w:r>
            <w:rPr>
              <w:kern w:val="0"/>
            </w:rPr>
            <w:fldChar w:fldCharType="end"/>
          </w:r>
          <w:r>
            <w:rPr>
              <w:kern w:val="0"/>
            </w:rPr>
            <w:fldChar w:fldCharType="end"/>
          </w:r>
        </w:p>
        <w:p>
          <w:pPr>
            <w:pStyle w:val="11"/>
            <w:tabs>
              <w:tab w:val="right" w:leader="dot" w:pos="8296"/>
            </w:tabs>
            <w:spacing w:line="440" w:lineRule="exact"/>
            <w:ind w:firstLine="560"/>
            <w:rPr>
              <w:rFonts w:asciiTheme="minorHAnsi" w:hAnsiTheme="minorHAnsi" w:eastAsiaTheme="minorEastAsia"/>
              <w:kern w:val="0"/>
              <w:sz w:val="21"/>
              <w:szCs w:val="22"/>
            </w:rPr>
          </w:pPr>
          <w:r>
            <w:fldChar w:fldCharType="begin"/>
          </w:r>
          <w:r>
            <w:instrText xml:space="preserve"> HYPERLINK \l "_Toc107140220" </w:instrText>
          </w:r>
          <w:r>
            <w:fldChar w:fldCharType="separate"/>
          </w:r>
          <w:r>
            <w:rPr>
              <w:rStyle w:val="18"/>
              <w:color w:val="auto"/>
              <w:kern w:val="0"/>
            </w:rPr>
            <w:t>2 工程费用结算资料</w:t>
          </w:r>
          <w:r>
            <w:rPr>
              <w:kern w:val="0"/>
            </w:rPr>
            <w:tab/>
          </w:r>
          <w:r>
            <w:rPr>
              <w:kern w:val="0"/>
            </w:rPr>
            <w:fldChar w:fldCharType="begin"/>
          </w:r>
          <w:r>
            <w:rPr>
              <w:kern w:val="0"/>
            </w:rPr>
            <w:instrText xml:space="preserve"> PAGEREF _Toc107140220 \h </w:instrText>
          </w:r>
          <w:r>
            <w:rPr>
              <w:kern w:val="0"/>
            </w:rPr>
            <w:fldChar w:fldCharType="separate"/>
          </w:r>
          <w:r>
            <w:rPr>
              <w:kern w:val="0"/>
            </w:rPr>
            <w:t>2</w:t>
          </w:r>
          <w:r>
            <w:rPr>
              <w:kern w:val="0"/>
            </w:rPr>
            <w:fldChar w:fldCharType="end"/>
          </w:r>
          <w:r>
            <w:rPr>
              <w:kern w:val="0"/>
            </w:rPr>
            <w:fldChar w:fldCharType="end"/>
          </w:r>
        </w:p>
        <w:p>
          <w:pPr>
            <w:pStyle w:val="12"/>
            <w:tabs>
              <w:tab w:val="right" w:leader="dot" w:pos="8296"/>
            </w:tabs>
            <w:spacing w:line="440" w:lineRule="exact"/>
            <w:ind w:left="560" w:firstLine="560"/>
            <w:rPr>
              <w:rFonts w:asciiTheme="minorHAnsi" w:hAnsiTheme="minorHAnsi" w:eastAsiaTheme="minorEastAsia"/>
              <w:kern w:val="0"/>
              <w:sz w:val="21"/>
              <w:szCs w:val="22"/>
            </w:rPr>
          </w:pPr>
          <w:r>
            <w:fldChar w:fldCharType="begin"/>
          </w:r>
          <w:r>
            <w:instrText xml:space="preserve"> HYPERLINK \l "_Toc107140221" </w:instrText>
          </w:r>
          <w:r>
            <w:fldChar w:fldCharType="separate"/>
          </w:r>
          <w:r>
            <w:rPr>
              <w:rStyle w:val="18"/>
              <w:color w:val="auto"/>
              <w:kern w:val="0"/>
            </w:rPr>
            <w:t>2.1 一般规定</w:t>
          </w:r>
          <w:r>
            <w:rPr>
              <w:kern w:val="0"/>
            </w:rPr>
            <w:tab/>
          </w:r>
          <w:r>
            <w:rPr>
              <w:kern w:val="0"/>
            </w:rPr>
            <w:fldChar w:fldCharType="begin"/>
          </w:r>
          <w:r>
            <w:rPr>
              <w:kern w:val="0"/>
            </w:rPr>
            <w:instrText xml:space="preserve"> PAGEREF _Toc107140221 \h </w:instrText>
          </w:r>
          <w:r>
            <w:rPr>
              <w:kern w:val="0"/>
            </w:rPr>
            <w:fldChar w:fldCharType="separate"/>
          </w:r>
          <w:r>
            <w:rPr>
              <w:kern w:val="0"/>
            </w:rPr>
            <w:t>2</w:t>
          </w:r>
          <w:r>
            <w:rPr>
              <w:kern w:val="0"/>
            </w:rPr>
            <w:fldChar w:fldCharType="end"/>
          </w:r>
          <w:r>
            <w:rPr>
              <w:kern w:val="0"/>
            </w:rPr>
            <w:fldChar w:fldCharType="end"/>
          </w:r>
        </w:p>
        <w:p>
          <w:pPr>
            <w:pStyle w:val="12"/>
            <w:tabs>
              <w:tab w:val="right" w:leader="dot" w:pos="8296"/>
            </w:tabs>
            <w:spacing w:line="440" w:lineRule="exact"/>
            <w:ind w:left="560" w:firstLine="560"/>
            <w:rPr>
              <w:rFonts w:asciiTheme="minorHAnsi" w:hAnsiTheme="minorHAnsi" w:eastAsiaTheme="minorEastAsia"/>
              <w:kern w:val="0"/>
              <w:sz w:val="21"/>
              <w:szCs w:val="22"/>
            </w:rPr>
          </w:pPr>
          <w:r>
            <w:fldChar w:fldCharType="begin"/>
          </w:r>
          <w:r>
            <w:instrText xml:space="preserve"> HYPERLINK \l "_Toc107140222" </w:instrText>
          </w:r>
          <w:r>
            <w:fldChar w:fldCharType="separate"/>
          </w:r>
          <w:r>
            <w:rPr>
              <w:rStyle w:val="18"/>
              <w:color w:val="auto"/>
              <w:kern w:val="0"/>
            </w:rPr>
            <w:t>2.2资料清单</w:t>
          </w:r>
          <w:r>
            <w:rPr>
              <w:kern w:val="0"/>
            </w:rPr>
            <w:tab/>
          </w:r>
          <w:r>
            <w:rPr>
              <w:kern w:val="0"/>
            </w:rPr>
            <w:fldChar w:fldCharType="begin"/>
          </w:r>
          <w:r>
            <w:rPr>
              <w:kern w:val="0"/>
            </w:rPr>
            <w:instrText xml:space="preserve"> PAGEREF _Toc107140222 \h </w:instrText>
          </w:r>
          <w:r>
            <w:rPr>
              <w:kern w:val="0"/>
            </w:rPr>
            <w:fldChar w:fldCharType="separate"/>
          </w:r>
          <w:r>
            <w:rPr>
              <w:kern w:val="0"/>
            </w:rPr>
            <w:t>2</w:t>
          </w:r>
          <w:r>
            <w:rPr>
              <w:kern w:val="0"/>
            </w:rPr>
            <w:fldChar w:fldCharType="end"/>
          </w:r>
          <w:r>
            <w:rPr>
              <w:kern w:val="0"/>
            </w:rPr>
            <w:fldChar w:fldCharType="end"/>
          </w:r>
        </w:p>
        <w:p>
          <w:pPr>
            <w:pStyle w:val="11"/>
            <w:tabs>
              <w:tab w:val="right" w:leader="dot" w:pos="8296"/>
            </w:tabs>
            <w:spacing w:line="440" w:lineRule="exact"/>
            <w:ind w:firstLine="560"/>
            <w:rPr>
              <w:rFonts w:asciiTheme="minorHAnsi" w:hAnsiTheme="minorHAnsi" w:eastAsiaTheme="minorEastAsia"/>
              <w:kern w:val="0"/>
              <w:sz w:val="21"/>
              <w:szCs w:val="22"/>
            </w:rPr>
          </w:pPr>
          <w:r>
            <w:fldChar w:fldCharType="begin"/>
          </w:r>
          <w:r>
            <w:instrText xml:space="preserve"> HYPERLINK \l "_Toc107140223" </w:instrText>
          </w:r>
          <w:r>
            <w:fldChar w:fldCharType="separate"/>
          </w:r>
          <w:r>
            <w:rPr>
              <w:rStyle w:val="18"/>
              <w:color w:val="auto"/>
              <w:kern w:val="0"/>
            </w:rPr>
            <w:t>3 工程费用分类</w:t>
          </w:r>
          <w:r>
            <w:rPr>
              <w:kern w:val="0"/>
            </w:rPr>
            <w:tab/>
          </w:r>
          <w:r>
            <w:rPr>
              <w:kern w:val="0"/>
            </w:rPr>
            <w:fldChar w:fldCharType="begin"/>
          </w:r>
          <w:r>
            <w:rPr>
              <w:kern w:val="0"/>
            </w:rPr>
            <w:instrText xml:space="preserve"> PAGEREF _Toc107140223 \h </w:instrText>
          </w:r>
          <w:r>
            <w:rPr>
              <w:kern w:val="0"/>
            </w:rPr>
            <w:fldChar w:fldCharType="separate"/>
          </w:r>
          <w:r>
            <w:rPr>
              <w:kern w:val="0"/>
            </w:rPr>
            <w:t>5</w:t>
          </w:r>
          <w:r>
            <w:rPr>
              <w:kern w:val="0"/>
            </w:rPr>
            <w:fldChar w:fldCharType="end"/>
          </w:r>
          <w:r>
            <w:rPr>
              <w:kern w:val="0"/>
            </w:rPr>
            <w:fldChar w:fldCharType="end"/>
          </w:r>
        </w:p>
        <w:p>
          <w:pPr>
            <w:pStyle w:val="12"/>
            <w:tabs>
              <w:tab w:val="right" w:leader="dot" w:pos="8296"/>
            </w:tabs>
            <w:spacing w:line="440" w:lineRule="exact"/>
            <w:ind w:left="560" w:firstLine="560"/>
            <w:rPr>
              <w:rFonts w:asciiTheme="minorHAnsi" w:hAnsiTheme="minorHAnsi" w:eastAsiaTheme="minorEastAsia"/>
              <w:kern w:val="0"/>
              <w:sz w:val="21"/>
              <w:szCs w:val="22"/>
            </w:rPr>
          </w:pPr>
          <w:r>
            <w:fldChar w:fldCharType="begin"/>
          </w:r>
          <w:r>
            <w:instrText xml:space="preserve"> HYPERLINK \l "_Toc107140224" </w:instrText>
          </w:r>
          <w:r>
            <w:fldChar w:fldCharType="separate"/>
          </w:r>
          <w:r>
            <w:rPr>
              <w:rStyle w:val="18"/>
              <w:color w:val="auto"/>
              <w:kern w:val="0"/>
            </w:rPr>
            <w:t>3.1 一般规定</w:t>
          </w:r>
          <w:r>
            <w:rPr>
              <w:kern w:val="0"/>
            </w:rPr>
            <w:tab/>
          </w:r>
          <w:r>
            <w:rPr>
              <w:kern w:val="0"/>
            </w:rPr>
            <w:fldChar w:fldCharType="begin"/>
          </w:r>
          <w:r>
            <w:rPr>
              <w:kern w:val="0"/>
            </w:rPr>
            <w:instrText xml:space="preserve"> PAGEREF _Toc107140224 \h </w:instrText>
          </w:r>
          <w:r>
            <w:rPr>
              <w:kern w:val="0"/>
            </w:rPr>
            <w:fldChar w:fldCharType="separate"/>
          </w:r>
          <w:r>
            <w:rPr>
              <w:kern w:val="0"/>
            </w:rPr>
            <w:t>5</w:t>
          </w:r>
          <w:r>
            <w:rPr>
              <w:kern w:val="0"/>
            </w:rPr>
            <w:fldChar w:fldCharType="end"/>
          </w:r>
          <w:r>
            <w:rPr>
              <w:kern w:val="0"/>
            </w:rPr>
            <w:fldChar w:fldCharType="end"/>
          </w:r>
        </w:p>
        <w:p>
          <w:pPr>
            <w:pStyle w:val="12"/>
            <w:tabs>
              <w:tab w:val="right" w:leader="dot" w:pos="8296"/>
            </w:tabs>
            <w:spacing w:line="440" w:lineRule="exact"/>
            <w:ind w:left="560" w:firstLine="560"/>
            <w:rPr>
              <w:rFonts w:asciiTheme="minorHAnsi" w:hAnsiTheme="minorHAnsi" w:eastAsiaTheme="minorEastAsia"/>
              <w:kern w:val="0"/>
              <w:sz w:val="21"/>
              <w:szCs w:val="22"/>
            </w:rPr>
          </w:pPr>
          <w:r>
            <w:fldChar w:fldCharType="begin"/>
          </w:r>
          <w:r>
            <w:instrText xml:space="preserve"> HYPERLINK \l "_Toc107140225" </w:instrText>
          </w:r>
          <w:r>
            <w:fldChar w:fldCharType="separate"/>
          </w:r>
          <w:r>
            <w:rPr>
              <w:rStyle w:val="18"/>
              <w:color w:val="auto"/>
              <w:kern w:val="0"/>
            </w:rPr>
            <w:t>3.2人工成本</w:t>
          </w:r>
          <w:r>
            <w:rPr>
              <w:kern w:val="0"/>
            </w:rPr>
            <w:tab/>
          </w:r>
          <w:r>
            <w:rPr>
              <w:kern w:val="0"/>
            </w:rPr>
            <w:fldChar w:fldCharType="begin"/>
          </w:r>
          <w:r>
            <w:rPr>
              <w:kern w:val="0"/>
            </w:rPr>
            <w:instrText xml:space="preserve"> PAGEREF _Toc107140225 \h </w:instrText>
          </w:r>
          <w:r>
            <w:rPr>
              <w:kern w:val="0"/>
            </w:rPr>
            <w:fldChar w:fldCharType="separate"/>
          </w:r>
          <w:r>
            <w:rPr>
              <w:kern w:val="0"/>
            </w:rPr>
            <w:t>6</w:t>
          </w:r>
          <w:r>
            <w:rPr>
              <w:kern w:val="0"/>
            </w:rPr>
            <w:fldChar w:fldCharType="end"/>
          </w:r>
          <w:r>
            <w:rPr>
              <w:kern w:val="0"/>
            </w:rPr>
            <w:fldChar w:fldCharType="end"/>
          </w:r>
        </w:p>
        <w:p>
          <w:pPr>
            <w:pStyle w:val="12"/>
            <w:tabs>
              <w:tab w:val="right" w:leader="dot" w:pos="8296"/>
            </w:tabs>
            <w:spacing w:line="440" w:lineRule="exact"/>
            <w:ind w:left="560" w:firstLine="560"/>
            <w:rPr>
              <w:rFonts w:asciiTheme="minorHAnsi" w:hAnsiTheme="minorHAnsi" w:eastAsiaTheme="minorEastAsia"/>
              <w:kern w:val="0"/>
              <w:sz w:val="21"/>
              <w:szCs w:val="22"/>
            </w:rPr>
          </w:pPr>
          <w:r>
            <w:fldChar w:fldCharType="begin"/>
          </w:r>
          <w:r>
            <w:instrText xml:space="preserve"> HYPERLINK \l "_Toc107140226" </w:instrText>
          </w:r>
          <w:r>
            <w:fldChar w:fldCharType="separate"/>
          </w:r>
          <w:r>
            <w:rPr>
              <w:rStyle w:val="18"/>
              <w:color w:val="auto"/>
              <w:kern w:val="0"/>
            </w:rPr>
            <w:t>3.3 材料成本</w:t>
          </w:r>
          <w:r>
            <w:rPr>
              <w:kern w:val="0"/>
            </w:rPr>
            <w:tab/>
          </w:r>
          <w:r>
            <w:rPr>
              <w:kern w:val="0"/>
            </w:rPr>
            <w:fldChar w:fldCharType="begin"/>
          </w:r>
          <w:r>
            <w:rPr>
              <w:kern w:val="0"/>
            </w:rPr>
            <w:instrText xml:space="preserve"> PAGEREF _Toc107140226 \h </w:instrText>
          </w:r>
          <w:r>
            <w:rPr>
              <w:kern w:val="0"/>
            </w:rPr>
            <w:fldChar w:fldCharType="separate"/>
          </w:r>
          <w:r>
            <w:rPr>
              <w:kern w:val="0"/>
            </w:rPr>
            <w:t>6</w:t>
          </w:r>
          <w:r>
            <w:rPr>
              <w:kern w:val="0"/>
            </w:rPr>
            <w:fldChar w:fldCharType="end"/>
          </w:r>
          <w:r>
            <w:rPr>
              <w:kern w:val="0"/>
            </w:rPr>
            <w:fldChar w:fldCharType="end"/>
          </w:r>
        </w:p>
        <w:p>
          <w:pPr>
            <w:pStyle w:val="12"/>
            <w:tabs>
              <w:tab w:val="right" w:leader="dot" w:pos="8296"/>
            </w:tabs>
            <w:spacing w:line="440" w:lineRule="exact"/>
            <w:ind w:left="560" w:firstLine="560"/>
            <w:rPr>
              <w:rFonts w:asciiTheme="minorHAnsi" w:hAnsiTheme="minorHAnsi" w:eastAsiaTheme="minorEastAsia"/>
              <w:kern w:val="0"/>
              <w:sz w:val="21"/>
              <w:szCs w:val="22"/>
            </w:rPr>
          </w:pPr>
          <w:r>
            <w:fldChar w:fldCharType="begin"/>
          </w:r>
          <w:r>
            <w:instrText xml:space="preserve"> HYPERLINK \l "_Toc107140227" </w:instrText>
          </w:r>
          <w:r>
            <w:fldChar w:fldCharType="separate"/>
          </w:r>
          <w:r>
            <w:rPr>
              <w:rStyle w:val="18"/>
              <w:color w:val="auto"/>
              <w:kern w:val="0"/>
            </w:rPr>
            <w:t>3.4机械成本</w:t>
          </w:r>
          <w:r>
            <w:rPr>
              <w:kern w:val="0"/>
            </w:rPr>
            <w:tab/>
          </w:r>
          <w:r>
            <w:rPr>
              <w:kern w:val="0"/>
            </w:rPr>
            <w:fldChar w:fldCharType="begin"/>
          </w:r>
          <w:r>
            <w:rPr>
              <w:kern w:val="0"/>
            </w:rPr>
            <w:instrText xml:space="preserve"> PAGEREF _Toc107140227 \h </w:instrText>
          </w:r>
          <w:r>
            <w:rPr>
              <w:kern w:val="0"/>
            </w:rPr>
            <w:fldChar w:fldCharType="separate"/>
          </w:r>
          <w:r>
            <w:rPr>
              <w:kern w:val="0"/>
            </w:rPr>
            <w:t>6</w:t>
          </w:r>
          <w:r>
            <w:rPr>
              <w:kern w:val="0"/>
            </w:rPr>
            <w:fldChar w:fldCharType="end"/>
          </w:r>
          <w:r>
            <w:rPr>
              <w:kern w:val="0"/>
            </w:rPr>
            <w:fldChar w:fldCharType="end"/>
          </w:r>
        </w:p>
        <w:p>
          <w:pPr>
            <w:pStyle w:val="12"/>
            <w:tabs>
              <w:tab w:val="right" w:leader="dot" w:pos="8296"/>
            </w:tabs>
            <w:spacing w:line="440" w:lineRule="exact"/>
            <w:ind w:left="560" w:firstLine="560"/>
            <w:rPr>
              <w:rFonts w:asciiTheme="minorHAnsi" w:hAnsiTheme="minorHAnsi" w:eastAsiaTheme="minorEastAsia"/>
              <w:kern w:val="0"/>
              <w:sz w:val="21"/>
              <w:szCs w:val="22"/>
            </w:rPr>
          </w:pPr>
          <w:r>
            <w:fldChar w:fldCharType="begin"/>
          </w:r>
          <w:r>
            <w:instrText xml:space="preserve"> HYPERLINK \l "_Toc107140228" </w:instrText>
          </w:r>
          <w:r>
            <w:fldChar w:fldCharType="separate"/>
          </w:r>
          <w:r>
            <w:rPr>
              <w:rStyle w:val="18"/>
              <w:color w:val="auto"/>
              <w:kern w:val="0"/>
            </w:rPr>
            <w:t>3.5专业工程成本</w:t>
          </w:r>
          <w:r>
            <w:rPr>
              <w:kern w:val="0"/>
            </w:rPr>
            <w:tab/>
          </w:r>
          <w:r>
            <w:rPr>
              <w:kern w:val="0"/>
            </w:rPr>
            <w:fldChar w:fldCharType="begin"/>
          </w:r>
          <w:r>
            <w:rPr>
              <w:kern w:val="0"/>
            </w:rPr>
            <w:instrText xml:space="preserve"> PAGEREF _Toc107140228 \h </w:instrText>
          </w:r>
          <w:r>
            <w:rPr>
              <w:kern w:val="0"/>
            </w:rPr>
            <w:fldChar w:fldCharType="separate"/>
          </w:r>
          <w:r>
            <w:rPr>
              <w:kern w:val="0"/>
            </w:rPr>
            <w:t>6</w:t>
          </w:r>
          <w:r>
            <w:rPr>
              <w:kern w:val="0"/>
            </w:rPr>
            <w:fldChar w:fldCharType="end"/>
          </w:r>
          <w:r>
            <w:rPr>
              <w:kern w:val="0"/>
            </w:rPr>
            <w:fldChar w:fldCharType="end"/>
          </w:r>
        </w:p>
        <w:p>
          <w:pPr>
            <w:pStyle w:val="12"/>
            <w:tabs>
              <w:tab w:val="right" w:leader="dot" w:pos="8296"/>
            </w:tabs>
            <w:spacing w:line="440" w:lineRule="exact"/>
            <w:ind w:left="560" w:firstLine="560"/>
            <w:rPr>
              <w:rFonts w:asciiTheme="minorHAnsi" w:hAnsiTheme="minorHAnsi" w:eastAsiaTheme="minorEastAsia"/>
              <w:kern w:val="0"/>
              <w:sz w:val="21"/>
              <w:szCs w:val="22"/>
            </w:rPr>
          </w:pPr>
          <w:r>
            <w:fldChar w:fldCharType="begin"/>
          </w:r>
          <w:r>
            <w:instrText xml:space="preserve"> HYPERLINK \l "_Toc107140229" </w:instrText>
          </w:r>
          <w:r>
            <w:fldChar w:fldCharType="separate"/>
          </w:r>
          <w:r>
            <w:rPr>
              <w:rStyle w:val="18"/>
              <w:color w:val="auto"/>
              <w:kern w:val="0"/>
            </w:rPr>
            <w:t>3.6防疫专项成本</w:t>
          </w:r>
          <w:r>
            <w:rPr>
              <w:kern w:val="0"/>
            </w:rPr>
            <w:tab/>
          </w:r>
          <w:r>
            <w:rPr>
              <w:kern w:val="0"/>
            </w:rPr>
            <w:fldChar w:fldCharType="begin"/>
          </w:r>
          <w:r>
            <w:rPr>
              <w:kern w:val="0"/>
            </w:rPr>
            <w:instrText xml:space="preserve"> PAGEREF _Toc107140229 \h </w:instrText>
          </w:r>
          <w:r>
            <w:rPr>
              <w:kern w:val="0"/>
            </w:rPr>
            <w:fldChar w:fldCharType="separate"/>
          </w:r>
          <w:r>
            <w:rPr>
              <w:kern w:val="0"/>
            </w:rPr>
            <w:t>6</w:t>
          </w:r>
          <w:r>
            <w:rPr>
              <w:kern w:val="0"/>
            </w:rPr>
            <w:fldChar w:fldCharType="end"/>
          </w:r>
          <w:r>
            <w:rPr>
              <w:kern w:val="0"/>
            </w:rPr>
            <w:fldChar w:fldCharType="end"/>
          </w:r>
        </w:p>
        <w:p>
          <w:pPr>
            <w:pStyle w:val="12"/>
            <w:tabs>
              <w:tab w:val="right" w:leader="dot" w:pos="8296"/>
            </w:tabs>
            <w:spacing w:line="440" w:lineRule="exact"/>
            <w:ind w:left="560" w:firstLine="560"/>
            <w:rPr>
              <w:rFonts w:asciiTheme="minorHAnsi" w:hAnsiTheme="minorHAnsi" w:eastAsiaTheme="minorEastAsia"/>
              <w:kern w:val="0"/>
              <w:sz w:val="21"/>
              <w:szCs w:val="22"/>
            </w:rPr>
          </w:pPr>
          <w:r>
            <w:fldChar w:fldCharType="begin"/>
          </w:r>
          <w:r>
            <w:instrText xml:space="preserve"> HYPERLINK \l "_Toc107140230" </w:instrText>
          </w:r>
          <w:r>
            <w:fldChar w:fldCharType="separate"/>
          </w:r>
          <w:r>
            <w:rPr>
              <w:rStyle w:val="18"/>
              <w:color w:val="auto"/>
              <w:kern w:val="0"/>
            </w:rPr>
            <w:t>3.7现场管理费</w:t>
          </w:r>
          <w:r>
            <w:rPr>
              <w:kern w:val="0"/>
            </w:rPr>
            <w:tab/>
          </w:r>
          <w:r>
            <w:rPr>
              <w:kern w:val="0"/>
            </w:rPr>
            <w:fldChar w:fldCharType="begin"/>
          </w:r>
          <w:r>
            <w:rPr>
              <w:kern w:val="0"/>
            </w:rPr>
            <w:instrText xml:space="preserve"> PAGEREF _Toc107140230 \h </w:instrText>
          </w:r>
          <w:r>
            <w:rPr>
              <w:kern w:val="0"/>
            </w:rPr>
            <w:fldChar w:fldCharType="separate"/>
          </w:r>
          <w:r>
            <w:rPr>
              <w:kern w:val="0"/>
            </w:rPr>
            <w:t>7</w:t>
          </w:r>
          <w:r>
            <w:rPr>
              <w:kern w:val="0"/>
            </w:rPr>
            <w:fldChar w:fldCharType="end"/>
          </w:r>
          <w:r>
            <w:rPr>
              <w:kern w:val="0"/>
            </w:rPr>
            <w:fldChar w:fldCharType="end"/>
          </w:r>
        </w:p>
        <w:p>
          <w:pPr>
            <w:pStyle w:val="12"/>
            <w:tabs>
              <w:tab w:val="right" w:leader="dot" w:pos="8296"/>
            </w:tabs>
            <w:spacing w:line="440" w:lineRule="exact"/>
            <w:ind w:left="560" w:firstLine="560"/>
            <w:rPr>
              <w:rFonts w:asciiTheme="minorHAnsi" w:hAnsiTheme="minorHAnsi" w:eastAsiaTheme="minorEastAsia"/>
              <w:kern w:val="0"/>
              <w:sz w:val="21"/>
              <w:szCs w:val="22"/>
            </w:rPr>
          </w:pPr>
          <w:r>
            <w:fldChar w:fldCharType="begin"/>
          </w:r>
          <w:r>
            <w:instrText xml:space="preserve"> HYPERLINK \l "_Toc107140231" </w:instrText>
          </w:r>
          <w:r>
            <w:fldChar w:fldCharType="separate"/>
          </w:r>
          <w:r>
            <w:rPr>
              <w:rStyle w:val="18"/>
              <w:color w:val="auto"/>
              <w:kern w:val="0"/>
            </w:rPr>
            <w:t>3.8企业管理费</w:t>
          </w:r>
          <w:r>
            <w:rPr>
              <w:kern w:val="0"/>
            </w:rPr>
            <w:tab/>
          </w:r>
          <w:r>
            <w:rPr>
              <w:kern w:val="0"/>
            </w:rPr>
            <w:fldChar w:fldCharType="begin"/>
          </w:r>
          <w:r>
            <w:rPr>
              <w:kern w:val="0"/>
            </w:rPr>
            <w:instrText xml:space="preserve"> PAGEREF _Toc107140231 \h </w:instrText>
          </w:r>
          <w:r>
            <w:rPr>
              <w:kern w:val="0"/>
            </w:rPr>
            <w:fldChar w:fldCharType="separate"/>
          </w:r>
          <w:r>
            <w:rPr>
              <w:kern w:val="0"/>
            </w:rPr>
            <w:t>7</w:t>
          </w:r>
          <w:r>
            <w:rPr>
              <w:kern w:val="0"/>
            </w:rPr>
            <w:fldChar w:fldCharType="end"/>
          </w:r>
          <w:r>
            <w:rPr>
              <w:kern w:val="0"/>
            </w:rPr>
            <w:fldChar w:fldCharType="end"/>
          </w:r>
        </w:p>
        <w:p>
          <w:pPr>
            <w:pStyle w:val="12"/>
            <w:tabs>
              <w:tab w:val="right" w:leader="dot" w:pos="8296"/>
            </w:tabs>
            <w:spacing w:line="440" w:lineRule="exact"/>
            <w:ind w:left="560" w:firstLine="560"/>
            <w:rPr>
              <w:rFonts w:asciiTheme="minorHAnsi" w:hAnsiTheme="minorHAnsi" w:eastAsiaTheme="minorEastAsia"/>
              <w:kern w:val="0"/>
              <w:sz w:val="21"/>
              <w:szCs w:val="22"/>
            </w:rPr>
          </w:pPr>
          <w:r>
            <w:fldChar w:fldCharType="begin"/>
          </w:r>
          <w:r>
            <w:instrText xml:space="preserve"> HYPERLINK \l "_Toc107140232" </w:instrText>
          </w:r>
          <w:r>
            <w:fldChar w:fldCharType="separate"/>
          </w:r>
          <w:r>
            <w:rPr>
              <w:rStyle w:val="18"/>
              <w:color w:val="auto"/>
              <w:kern w:val="0"/>
            </w:rPr>
            <w:t>3.9增值税</w:t>
          </w:r>
          <w:r>
            <w:rPr>
              <w:kern w:val="0"/>
            </w:rPr>
            <w:tab/>
          </w:r>
          <w:r>
            <w:rPr>
              <w:kern w:val="0"/>
            </w:rPr>
            <w:fldChar w:fldCharType="begin"/>
          </w:r>
          <w:r>
            <w:rPr>
              <w:kern w:val="0"/>
            </w:rPr>
            <w:instrText xml:space="preserve"> PAGEREF _Toc107140232 \h </w:instrText>
          </w:r>
          <w:r>
            <w:rPr>
              <w:kern w:val="0"/>
            </w:rPr>
            <w:fldChar w:fldCharType="separate"/>
          </w:r>
          <w:r>
            <w:rPr>
              <w:kern w:val="0"/>
            </w:rPr>
            <w:t>8</w:t>
          </w:r>
          <w:r>
            <w:rPr>
              <w:kern w:val="0"/>
            </w:rPr>
            <w:fldChar w:fldCharType="end"/>
          </w:r>
          <w:r>
            <w:rPr>
              <w:kern w:val="0"/>
            </w:rPr>
            <w:fldChar w:fldCharType="end"/>
          </w:r>
        </w:p>
        <w:p>
          <w:pPr>
            <w:pStyle w:val="12"/>
            <w:tabs>
              <w:tab w:val="right" w:leader="dot" w:pos="8296"/>
            </w:tabs>
            <w:spacing w:line="440" w:lineRule="exact"/>
            <w:ind w:left="560" w:firstLine="560"/>
            <w:rPr>
              <w:rFonts w:asciiTheme="minorHAnsi" w:hAnsiTheme="minorHAnsi" w:eastAsiaTheme="minorEastAsia"/>
              <w:kern w:val="0"/>
              <w:sz w:val="21"/>
              <w:szCs w:val="22"/>
            </w:rPr>
          </w:pPr>
          <w:r>
            <w:fldChar w:fldCharType="begin"/>
          </w:r>
          <w:r>
            <w:instrText xml:space="preserve"> HYPERLINK \l "_Toc107140233" </w:instrText>
          </w:r>
          <w:r>
            <w:fldChar w:fldCharType="separate"/>
          </w:r>
          <w:r>
            <w:rPr>
              <w:rStyle w:val="18"/>
              <w:color w:val="auto"/>
              <w:kern w:val="0"/>
            </w:rPr>
            <w:t>3.10病床及配套物资费</w:t>
          </w:r>
          <w:r>
            <w:rPr>
              <w:kern w:val="0"/>
            </w:rPr>
            <w:tab/>
          </w:r>
          <w:r>
            <w:rPr>
              <w:kern w:val="0"/>
            </w:rPr>
            <w:fldChar w:fldCharType="begin"/>
          </w:r>
          <w:r>
            <w:rPr>
              <w:kern w:val="0"/>
            </w:rPr>
            <w:instrText xml:space="preserve"> PAGEREF _Toc107140233 \h </w:instrText>
          </w:r>
          <w:r>
            <w:rPr>
              <w:kern w:val="0"/>
            </w:rPr>
            <w:fldChar w:fldCharType="separate"/>
          </w:r>
          <w:r>
            <w:rPr>
              <w:kern w:val="0"/>
            </w:rPr>
            <w:t>8</w:t>
          </w:r>
          <w:r>
            <w:rPr>
              <w:kern w:val="0"/>
            </w:rPr>
            <w:fldChar w:fldCharType="end"/>
          </w:r>
          <w:r>
            <w:rPr>
              <w:kern w:val="0"/>
            </w:rPr>
            <w:fldChar w:fldCharType="end"/>
          </w:r>
        </w:p>
        <w:p>
          <w:pPr>
            <w:pStyle w:val="11"/>
            <w:tabs>
              <w:tab w:val="right" w:leader="dot" w:pos="8296"/>
            </w:tabs>
            <w:spacing w:line="440" w:lineRule="exact"/>
            <w:ind w:firstLine="560"/>
            <w:rPr>
              <w:rFonts w:asciiTheme="minorHAnsi" w:hAnsiTheme="minorHAnsi" w:eastAsiaTheme="minorEastAsia"/>
              <w:kern w:val="0"/>
              <w:sz w:val="21"/>
              <w:szCs w:val="22"/>
            </w:rPr>
          </w:pPr>
          <w:r>
            <w:fldChar w:fldCharType="begin"/>
          </w:r>
          <w:r>
            <w:instrText xml:space="preserve"> HYPERLINK \l "_Toc107140234" </w:instrText>
          </w:r>
          <w:r>
            <w:fldChar w:fldCharType="separate"/>
          </w:r>
          <w:r>
            <w:rPr>
              <w:rStyle w:val="18"/>
              <w:color w:val="auto"/>
              <w:kern w:val="0"/>
            </w:rPr>
            <w:t>4 人材机成本认定及费用标准</w:t>
          </w:r>
          <w:r>
            <w:rPr>
              <w:kern w:val="0"/>
            </w:rPr>
            <w:tab/>
          </w:r>
          <w:r>
            <w:rPr>
              <w:kern w:val="0"/>
            </w:rPr>
            <w:fldChar w:fldCharType="begin"/>
          </w:r>
          <w:r>
            <w:rPr>
              <w:kern w:val="0"/>
            </w:rPr>
            <w:instrText xml:space="preserve"> PAGEREF _Toc107140234 \h </w:instrText>
          </w:r>
          <w:r>
            <w:rPr>
              <w:kern w:val="0"/>
            </w:rPr>
            <w:fldChar w:fldCharType="separate"/>
          </w:r>
          <w:r>
            <w:rPr>
              <w:kern w:val="0"/>
            </w:rPr>
            <w:t>9</w:t>
          </w:r>
          <w:r>
            <w:rPr>
              <w:kern w:val="0"/>
            </w:rPr>
            <w:fldChar w:fldCharType="end"/>
          </w:r>
          <w:r>
            <w:rPr>
              <w:kern w:val="0"/>
            </w:rPr>
            <w:fldChar w:fldCharType="end"/>
          </w:r>
        </w:p>
        <w:p>
          <w:pPr>
            <w:pStyle w:val="12"/>
            <w:tabs>
              <w:tab w:val="right" w:leader="dot" w:pos="8296"/>
            </w:tabs>
            <w:spacing w:line="440" w:lineRule="exact"/>
            <w:ind w:left="560" w:firstLine="560"/>
            <w:rPr>
              <w:rFonts w:asciiTheme="minorHAnsi" w:hAnsiTheme="minorHAnsi" w:eastAsiaTheme="minorEastAsia"/>
              <w:kern w:val="0"/>
              <w:sz w:val="21"/>
              <w:szCs w:val="22"/>
            </w:rPr>
          </w:pPr>
          <w:r>
            <w:fldChar w:fldCharType="begin"/>
          </w:r>
          <w:r>
            <w:instrText xml:space="preserve"> HYPERLINK \l "_Toc107140235" </w:instrText>
          </w:r>
          <w:r>
            <w:fldChar w:fldCharType="separate"/>
          </w:r>
          <w:r>
            <w:rPr>
              <w:rStyle w:val="18"/>
              <w:color w:val="auto"/>
              <w:kern w:val="0"/>
            </w:rPr>
            <w:t>4.1一般规定</w:t>
          </w:r>
          <w:r>
            <w:rPr>
              <w:kern w:val="0"/>
            </w:rPr>
            <w:tab/>
          </w:r>
          <w:r>
            <w:rPr>
              <w:kern w:val="0"/>
            </w:rPr>
            <w:fldChar w:fldCharType="begin"/>
          </w:r>
          <w:r>
            <w:rPr>
              <w:kern w:val="0"/>
            </w:rPr>
            <w:instrText xml:space="preserve"> PAGEREF _Toc107140235 \h </w:instrText>
          </w:r>
          <w:r>
            <w:rPr>
              <w:kern w:val="0"/>
            </w:rPr>
            <w:fldChar w:fldCharType="separate"/>
          </w:r>
          <w:r>
            <w:rPr>
              <w:kern w:val="0"/>
            </w:rPr>
            <w:t>9</w:t>
          </w:r>
          <w:r>
            <w:rPr>
              <w:kern w:val="0"/>
            </w:rPr>
            <w:fldChar w:fldCharType="end"/>
          </w:r>
          <w:r>
            <w:rPr>
              <w:kern w:val="0"/>
            </w:rPr>
            <w:fldChar w:fldCharType="end"/>
          </w:r>
        </w:p>
        <w:p>
          <w:pPr>
            <w:pStyle w:val="12"/>
            <w:tabs>
              <w:tab w:val="right" w:leader="dot" w:pos="8296"/>
            </w:tabs>
            <w:spacing w:line="440" w:lineRule="exact"/>
            <w:ind w:left="560" w:firstLine="560"/>
            <w:rPr>
              <w:rFonts w:asciiTheme="minorHAnsi" w:hAnsiTheme="minorHAnsi" w:eastAsiaTheme="minorEastAsia"/>
              <w:kern w:val="0"/>
              <w:sz w:val="21"/>
              <w:szCs w:val="22"/>
            </w:rPr>
          </w:pPr>
          <w:r>
            <w:fldChar w:fldCharType="begin"/>
          </w:r>
          <w:r>
            <w:instrText xml:space="preserve"> HYPERLINK \l "_Toc107140236" </w:instrText>
          </w:r>
          <w:r>
            <w:fldChar w:fldCharType="separate"/>
          </w:r>
          <w:r>
            <w:rPr>
              <w:rStyle w:val="18"/>
              <w:color w:val="auto"/>
              <w:kern w:val="0"/>
            </w:rPr>
            <w:t>4.2人工成本</w:t>
          </w:r>
          <w:r>
            <w:rPr>
              <w:kern w:val="0"/>
            </w:rPr>
            <w:tab/>
          </w:r>
          <w:r>
            <w:rPr>
              <w:kern w:val="0"/>
            </w:rPr>
            <w:fldChar w:fldCharType="begin"/>
          </w:r>
          <w:r>
            <w:rPr>
              <w:kern w:val="0"/>
            </w:rPr>
            <w:instrText xml:space="preserve"> PAGEREF _Toc107140236 \h </w:instrText>
          </w:r>
          <w:r>
            <w:rPr>
              <w:kern w:val="0"/>
            </w:rPr>
            <w:fldChar w:fldCharType="separate"/>
          </w:r>
          <w:r>
            <w:rPr>
              <w:kern w:val="0"/>
            </w:rPr>
            <w:t>9</w:t>
          </w:r>
          <w:r>
            <w:rPr>
              <w:kern w:val="0"/>
            </w:rPr>
            <w:fldChar w:fldCharType="end"/>
          </w:r>
          <w:r>
            <w:rPr>
              <w:kern w:val="0"/>
            </w:rPr>
            <w:fldChar w:fldCharType="end"/>
          </w:r>
        </w:p>
        <w:p>
          <w:pPr>
            <w:pStyle w:val="12"/>
            <w:tabs>
              <w:tab w:val="right" w:leader="dot" w:pos="8296"/>
            </w:tabs>
            <w:spacing w:line="440" w:lineRule="exact"/>
            <w:ind w:left="560" w:firstLine="560"/>
            <w:rPr>
              <w:rFonts w:asciiTheme="minorHAnsi" w:hAnsiTheme="minorHAnsi" w:eastAsiaTheme="minorEastAsia"/>
              <w:kern w:val="0"/>
              <w:sz w:val="21"/>
              <w:szCs w:val="22"/>
            </w:rPr>
          </w:pPr>
          <w:r>
            <w:fldChar w:fldCharType="begin"/>
          </w:r>
          <w:r>
            <w:instrText xml:space="preserve"> HYPERLINK \l "_Toc107140237" </w:instrText>
          </w:r>
          <w:r>
            <w:fldChar w:fldCharType="separate"/>
          </w:r>
          <w:r>
            <w:rPr>
              <w:rStyle w:val="18"/>
              <w:color w:val="auto"/>
              <w:kern w:val="0"/>
            </w:rPr>
            <w:t>4.3 材料成本</w:t>
          </w:r>
          <w:r>
            <w:rPr>
              <w:kern w:val="0"/>
            </w:rPr>
            <w:tab/>
          </w:r>
          <w:r>
            <w:rPr>
              <w:kern w:val="0"/>
            </w:rPr>
            <w:fldChar w:fldCharType="begin"/>
          </w:r>
          <w:r>
            <w:rPr>
              <w:kern w:val="0"/>
            </w:rPr>
            <w:instrText xml:space="preserve"> PAGEREF _Toc107140237 \h </w:instrText>
          </w:r>
          <w:r>
            <w:rPr>
              <w:kern w:val="0"/>
            </w:rPr>
            <w:fldChar w:fldCharType="separate"/>
          </w:r>
          <w:r>
            <w:rPr>
              <w:kern w:val="0"/>
            </w:rPr>
            <w:t>10</w:t>
          </w:r>
          <w:r>
            <w:rPr>
              <w:kern w:val="0"/>
            </w:rPr>
            <w:fldChar w:fldCharType="end"/>
          </w:r>
          <w:r>
            <w:rPr>
              <w:kern w:val="0"/>
            </w:rPr>
            <w:fldChar w:fldCharType="end"/>
          </w:r>
        </w:p>
        <w:p>
          <w:pPr>
            <w:pStyle w:val="12"/>
            <w:tabs>
              <w:tab w:val="right" w:leader="dot" w:pos="8296"/>
            </w:tabs>
            <w:spacing w:line="440" w:lineRule="exact"/>
            <w:ind w:left="560" w:firstLine="560"/>
            <w:rPr>
              <w:rFonts w:asciiTheme="minorHAnsi" w:hAnsiTheme="minorHAnsi" w:eastAsiaTheme="minorEastAsia"/>
              <w:kern w:val="0"/>
              <w:sz w:val="21"/>
              <w:szCs w:val="22"/>
            </w:rPr>
          </w:pPr>
          <w:r>
            <w:fldChar w:fldCharType="begin"/>
          </w:r>
          <w:r>
            <w:instrText xml:space="preserve"> HYPERLINK \l "_Toc107140238" </w:instrText>
          </w:r>
          <w:r>
            <w:fldChar w:fldCharType="separate"/>
          </w:r>
          <w:r>
            <w:rPr>
              <w:rStyle w:val="18"/>
              <w:color w:val="auto"/>
              <w:kern w:val="0"/>
            </w:rPr>
            <w:t>4.4机械成本</w:t>
          </w:r>
          <w:r>
            <w:rPr>
              <w:kern w:val="0"/>
            </w:rPr>
            <w:tab/>
          </w:r>
          <w:r>
            <w:rPr>
              <w:kern w:val="0"/>
            </w:rPr>
            <w:fldChar w:fldCharType="begin"/>
          </w:r>
          <w:r>
            <w:rPr>
              <w:kern w:val="0"/>
            </w:rPr>
            <w:instrText xml:space="preserve"> PAGEREF _Toc107140238 \h </w:instrText>
          </w:r>
          <w:r>
            <w:rPr>
              <w:kern w:val="0"/>
            </w:rPr>
            <w:fldChar w:fldCharType="separate"/>
          </w:r>
          <w:r>
            <w:rPr>
              <w:kern w:val="0"/>
            </w:rPr>
            <w:t>12</w:t>
          </w:r>
          <w:r>
            <w:rPr>
              <w:kern w:val="0"/>
            </w:rPr>
            <w:fldChar w:fldCharType="end"/>
          </w:r>
          <w:r>
            <w:rPr>
              <w:kern w:val="0"/>
            </w:rPr>
            <w:fldChar w:fldCharType="end"/>
          </w:r>
        </w:p>
        <w:p>
          <w:pPr>
            <w:pStyle w:val="11"/>
            <w:tabs>
              <w:tab w:val="right" w:leader="dot" w:pos="8296"/>
            </w:tabs>
            <w:spacing w:line="440" w:lineRule="exact"/>
            <w:ind w:firstLine="560"/>
            <w:rPr>
              <w:rFonts w:asciiTheme="minorHAnsi" w:hAnsiTheme="minorHAnsi" w:eastAsiaTheme="minorEastAsia"/>
              <w:kern w:val="0"/>
              <w:sz w:val="21"/>
              <w:szCs w:val="22"/>
            </w:rPr>
          </w:pPr>
          <w:r>
            <w:fldChar w:fldCharType="begin"/>
          </w:r>
          <w:r>
            <w:instrText xml:space="preserve"> HYPERLINK \l "_Toc107140239" </w:instrText>
          </w:r>
          <w:r>
            <w:fldChar w:fldCharType="separate"/>
          </w:r>
          <w:r>
            <w:rPr>
              <w:rStyle w:val="18"/>
              <w:color w:val="auto"/>
              <w:kern w:val="0"/>
            </w:rPr>
            <w:t>5专业工程成本</w:t>
          </w:r>
          <w:r>
            <w:rPr>
              <w:kern w:val="0"/>
            </w:rPr>
            <w:tab/>
          </w:r>
          <w:r>
            <w:rPr>
              <w:kern w:val="0"/>
            </w:rPr>
            <w:fldChar w:fldCharType="begin"/>
          </w:r>
          <w:r>
            <w:rPr>
              <w:kern w:val="0"/>
            </w:rPr>
            <w:instrText xml:space="preserve"> PAGEREF _Toc107140239 \h </w:instrText>
          </w:r>
          <w:r>
            <w:rPr>
              <w:kern w:val="0"/>
            </w:rPr>
            <w:fldChar w:fldCharType="separate"/>
          </w:r>
          <w:r>
            <w:rPr>
              <w:kern w:val="0"/>
            </w:rPr>
            <w:t>13</w:t>
          </w:r>
          <w:r>
            <w:rPr>
              <w:kern w:val="0"/>
            </w:rPr>
            <w:fldChar w:fldCharType="end"/>
          </w:r>
          <w:r>
            <w:rPr>
              <w:kern w:val="0"/>
            </w:rPr>
            <w:fldChar w:fldCharType="end"/>
          </w:r>
        </w:p>
        <w:p>
          <w:pPr>
            <w:pStyle w:val="11"/>
            <w:tabs>
              <w:tab w:val="right" w:leader="dot" w:pos="8296"/>
            </w:tabs>
            <w:spacing w:line="440" w:lineRule="exact"/>
            <w:ind w:firstLine="560"/>
            <w:rPr>
              <w:rFonts w:asciiTheme="minorHAnsi" w:hAnsiTheme="minorHAnsi" w:eastAsiaTheme="minorEastAsia"/>
              <w:kern w:val="0"/>
              <w:sz w:val="21"/>
              <w:szCs w:val="22"/>
            </w:rPr>
          </w:pPr>
          <w:r>
            <w:fldChar w:fldCharType="begin"/>
          </w:r>
          <w:r>
            <w:instrText xml:space="preserve"> HYPERLINK \l "_Toc107140240" </w:instrText>
          </w:r>
          <w:r>
            <w:fldChar w:fldCharType="separate"/>
          </w:r>
          <w:r>
            <w:rPr>
              <w:rStyle w:val="18"/>
              <w:color w:val="auto"/>
              <w:kern w:val="0"/>
            </w:rPr>
            <w:t>6 防疫专项成本认定及费用标准</w:t>
          </w:r>
          <w:r>
            <w:rPr>
              <w:kern w:val="0"/>
            </w:rPr>
            <w:tab/>
          </w:r>
          <w:r>
            <w:rPr>
              <w:kern w:val="0"/>
            </w:rPr>
            <w:fldChar w:fldCharType="begin"/>
          </w:r>
          <w:r>
            <w:rPr>
              <w:kern w:val="0"/>
            </w:rPr>
            <w:instrText xml:space="preserve"> PAGEREF _Toc107140240 \h </w:instrText>
          </w:r>
          <w:r>
            <w:rPr>
              <w:kern w:val="0"/>
            </w:rPr>
            <w:fldChar w:fldCharType="separate"/>
          </w:r>
          <w:r>
            <w:rPr>
              <w:kern w:val="0"/>
            </w:rPr>
            <w:t>14</w:t>
          </w:r>
          <w:r>
            <w:rPr>
              <w:kern w:val="0"/>
            </w:rPr>
            <w:fldChar w:fldCharType="end"/>
          </w:r>
          <w:r>
            <w:rPr>
              <w:kern w:val="0"/>
            </w:rPr>
            <w:fldChar w:fldCharType="end"/>
          </w:r>
        </w:p>
        <w:p>
          <w:pPr>
            <w:pStyle w:val="11"/>
            <w:tabs>
              <w:tab w:val="right" w:leader="dot" w:pos="8296"/>
            </w:tabs>
            <w:spacing w:line="440" w:lineRule="exact"/>
            <w:ind w:firstLine="560"/>
            <w:rPr>
              <w:rFonts w:asciiTheme="minorHAnsi" w:hAnsiTheme="minorHAnsi" w:eastAsiaTheme="minorEastAsia"/>
              <w:kern w:val="0"/>
              <w:sz w:val="21"/>
              <w:szCs w:val="22"/>
            </w:rPr>
          </w:pPr>
          <w:r>
            <w:fldChar w:fldCharType="begin"/>
          </w:r>
          <w:r>
            <w:instrText xml:space="preserve"> HYPERLINK \l "_Toc107140241" </w:instrText>
          </w:r>
          <w:r>
            <w:fldChar w:fldCharType="separate"/>
          </w:r>
          <w:r>
            <w:rPr>
              <w:rStyle w:val="18"/>
              <w:color w:val="auto"/>
              <w:kern w:val="0"/>
            </w:rPr>
            <w:t>7 现场管理费认定及费用标准</w:t>
          </w:r>
          <w:r>
            <w:rPr>
              <w:kern w:val="0"/>
            </w:rPr>
            <w:tab/>
          </w:r>
          <w:r>
            <w:rPr>
              <w:kern w:val="0"/>
            </w:rPr>
            <w:fldChar w:fldCharType="begin"/>
          </w:r>
          <w:r>
            <w:rPr>
              <w:kern w:val="0"/>
            </w:rPr>
            <w:instrText xml:space="preserve"> PAGEREF _Toc107140241 \h </w:instrText>
          </w:r>
          <w:r>
            <w:rPr>
              <w:kern w:val="0"/>
            </w:rPr>
            <w:fldChar w:fldCharType="separate"/>
          </w:r>
          <w:r>
            <w:rPr>
              <w:kern w:val="0"/>
            </w:rPr>
            <w:t>15</w:t>
          </w:r>
          <w:r>
            <w:rPr>
              <w:kern w:val="0"/>
            </w:rPr>
            <w:fldChar w:fldCharType="end"/>
          </w:r>
          <w:r>
            <w:rPr>
              <w:kern w:val="0"/>
            </w:rPr>
            <w:fldChar w:fldCharType="end"/>
          </w:r>
        </w:p>
        <w:p>
          <w:pPr>
            <w:pStyle w:val="11"/>
            <w:tabs>
              <w:tab w:val="right" w:leader="dot" w:pos="8296"/>
            </w:tabs>
            <w:spacing w:line="440" w:lineRule="exact"/>
            <w:ind w:firstLine="560"/>
            <w:rPr>
              <w:rFonts w:asciiTheme="minorHAnsi" w:hAnsiTheme="minorHAnsi" w:eastAsiaTheme="minorEastAsia"/>
              <w:kern w:val="0"/>
              <w:sz w:val="21"/>
              <w:szCs w:val="22"/>
            </w:rPr>
          </w:pPr>
          <w:r>
            <w:fldChar w:fldCharType="begin"/>
          </w:r>
          <w:r>
            <w:instrText xml:space="preserve"> HYPERLINK \l "_Toc107140242" </w:instrText>
          </w:r>
          <w:r>
            <w:fldChar w:fldCharType="separate"/>
          </w:r>
          <w:r>
            <w:rPr>
              <w:rStyle w:val="18"/>
              <w:color w:val="auto"/>
              <w:kern w:val="0"/>
            </w:rPr>
            <w:t>8企业管理费费用标准</w:t>
          </w:r>
          <w:r>
            <w:rPr>
              <w:kern w:val="0"/>
            </w:rPr>
            <w:tab/>
          </w:r>
          <w:r>
            <w:rPr>
              <w:kern w:val="0"/>
            </w:rPr>
            <w:fldChar w:fldCharType="begin"/>
          </w:r>
          <w:r>
            <w:rPr>
              <w:kern w:val="0"/>
            </w:rPr>
            <w:instrText xml:space="preserve"> PAGEREF _Toc107140242 \h </w:instrText>
          </w:r>
          <w:r>
            <w:rPr>
              <w:kern w:val="0"/>
            </w:rPr>
            <w:fldChar w:fldCharType="separate"/>
          </w:r>
          <w:r>
            <w:rPr>
              <w:kern w:val="0"/>
            </w:rPr>
            <w:t>16</w:t>
          </w:r>
          <w:r>
            <w:rPr>
              <w:kern w:val="0"/>
            </w:rPr>
            <w:fldChar w:fldCharType="end"/>
          </w:r>
          <w:r>
            <w:rPr>
              <w:kern w:val="0"/>
            </w:rPr>
            <w:fldChar w:fldCharType="end"/>
          </w:r>
        </w:p>
        <w:p>
          <w:pPr>
            <w:pStyle w:val="11"/>
            <w:tabs>
              <w:tab w:val="right" w:leader="dot" w:pos="8296"/>
            </w:tabs>
            <w:spacing w:line="440" w:lineRule="exact"/>
            <w:ind w:firstLine="560"/>
            <w:rPr>
              <w:rFonts w:asciiTheme="minorHAnsi" w:hAnsiTheme="minorHAnsi" w:eastAsiaTheme="minorEastAsia"/>
              <w:kern w:val="0"/>
              <w:sz w:val="21"/>
              <w:szCs w:val="22"/>
            </w:rPr>
          </w:pPr>
          <w:r>
            <w:fldChar w:fldCharType="begin"/>
          </w:r>
          <w:r>
            <w:instrText xml:space="preserve"> HYPERLINK \l "_Toc107140243" </w:instrText>
          </w:r>
          <w:r>
            <w:fldChar w:fldCharType="separate"/>
          </w:r>
          <w:r>
            <w:rPr>
              <w:rStyle w:val="18"/>
              <w:color w:val="auto"/>
              <w:kern w:val="0"/>
            </w:rPr>
            <w:t>9 增值税</w:t>
          </w:r>
          <w:r>
            <w:rPr>
              <w:kern w:val="0"/>
            </w:rPr>
            <w:tab/>
          </w:r>
          <w:r>
            <w:rPr>
              <w:kern w:val="0"/>
            </w:rPr>
            <w:fldChar w:fldCharType="begin"/>
          </w:r>
          <w:r>
            <w:rPr>
              <w:kern w:val="0"/>
            </w:rPr>
            <w:instrText xml:space="preserve"> PAGEREF _Toc107140243 \h </w:instrText>
          </w:r>
          <w:r>
            <w:rPr>
              <w:kern w:val="0"/>
            </w:rPr>
            <w:fldChar w:fldCharType="separate"/>
          </w:r>
          <w:r>
            <w:rPr>
              <w:kern w:val="0"/>
            </w:rPr>
            <w:t>17</w:t>
          </w:r>
          <w:r>
            <w:rPr>
              <w:kern w:val="0"/>
            </w:rPr>
            <w:fldChar w:fldCharType="end"/>
          </w:r>
          <w:r>
            <w:rPr>
              <w:kern w:val="0"/>
            </w:rPr>
            <w:fldChar w:fldCharType="end"/>
          </w:r>
        </w:p>
        <w:p>
          <w:pPr>
            <w:pStyle w:val="11"/>
            <w:tabs>
              <w:tab w:val="right" w:leader="dot" w:pos="8296"/>
            </w:tabs>
            <w:spacing w:line="440" w:lineRule="exact"/>
            <w:ind w:firstLine="560"/>
            <w:rPr>
              <w:rFonts w:asciiTheme="minorHAnsi" w:hAnsiTheme="minorHAnsi" w:eastAsiaTheme="minorEastAsia"/>
              <w:kern w:val="0"/>
              <w:sz w:val="21"/>
              <w:szCs w:val="22"/>
            </w:rPr>
          </w:pPr>
          <w:r>
            <w:fldChar w:fldCharType="begin"/>
          </w:r>
          <w:r>
            <w:instrText xml:space="preserve"> HYPERLINK \l "_Toc107140244" </w:instrText>
          </w:r>
          <w:r>
            <w:fldChar w:fldCharType="separate"/>
          </w:r>
          <w:r>
            <w:rPr>
              <w:rStyle w:val="18"/>
              <w:color w:val="auto"/>
              <w:kern w:val="0"/>
            </w:rPr>
            <w:t>10病床及配套物资费</w:t>
          </w:r>
          <w:r>
            <w:rPr>
              <w:kern w:val="0"/>
            </w:rPr>
            <w:tab/>
          </w:r>
          <w:r>
            <w:rPr>
              <w:kern w:val="0"/>
            </w:rPr>
            <w:fldChar w:fldCharType="begin"/>
          </w:r>
          <w:r>
            <w:rPr>
              <w:kern w:val="0"/>
            </w:rPr>
            <w:instrText xml:space="preserve"> PAGEREF _Toc107140244 \h </w:instrText>
          </w:r>
          <w:r>
            <w:rPr>
              <w:kern w:val="0"/>
            </w:rPr>
            <w:fldChar w:fldCharType="separate"/>
          </w:r>
          <w:r>
            <w:rPr>
              <w:kern w:val="0"/>
            </w:rPr>
            <w:t>18</w:t>
          </w:r>
          <w:r>
            <w:rPr>
              <w:kern w:val="0"/>
            </w:rPr>
            <w:fldChar w:fldCharType="end"/>
          </w:r>
          <w:r>
            <w:rPr>
              <w:kern w:val="0"/>
            </w:rPr>
            <w:fldChar w:fldCharType="end"/>
          </w:r>
        </w:p>
        <w:p>
          <w:pPr>
            <w:pStyle w:val="11"/>
            <w:tabs>
              <w:tab w:val="right" w:leader="dot" w:pos="8296"/>
            </w:tabs>
            <w:spacing w:line="440" w:lineRule="exact"/>
            <w:ind w:firstLine="560"/>
            <w:rPr>
              <w:kern w:val="0"/>
            </w:rPr>
          </w:pPr>
          <w:r>
            <w:fldChar w:fldCharType="begin"/>
          </w:r>
          <w:r>
            <w:instrText xml:space="preserve"> HYPERLINK \l "_Toc107140245" </w:instrText>
          </w:r>
          <w:r>
            <w:fldChar w:fldCharType="separate"/>
          </w:r>
          <w:r>
            <w:rPr>
              <w:rStyle w:val="18"/>
              <w:color w:val="auto"/>
              <w:kern w:val="0"/>
            </w:rPr>
            <w:t>11工程设计费和监理费</w:t>
          </w:r>
          <w:r>
            <w:rPr>
              <w:kern w:val="0"/>
            </w:rPr>
            <w:tab/>
          </w:r>
          <w:r>
            <w:rPr>
              <w:kern w:val="0"/>
            </w:rPr>
            <w:fldChar w:fldCharType="begin"/>
          </w:r>
          <w:r>
            <w:rPr>
              <w:kern w:val="0"/>
            </w:rPr>
            <w:instrText xml:space="preserve"> PAGEREF _Toc107140245 \h </w:instrText>
          </w:r>
          <w:r>
            <w:rPr>
              <w:kern w:val="0"/>
            </w:rPr>
            <w:fldChar w:fldCharType="separate"/>
          </w:r>
          <w:r>
            <w:rPr>
              <w:kern w:val="0"/>
            </w:rPr>
            <w:t>19</w:t>
          </w:r>
          <w:r>
            <w:rPr>
              <w:kern w:val="0"/>
            </w:rPr>
            <w:fldChar w:fldCharType="end"/>
          </w:r>
          <w:r>
            <w:rPr>
              <w:kern w:val="0"/>
            </w:rPr>
            <w:fldChar w:fldCharType="end"/>
          </w:r>
          <w:r>
            <w:rPr>
              <w:rFonts w:hint="eastAsia"/>
              <w:kern w:val="0"/>
            </w:rPr>
            <w:fldChar w:fldCharType="end"/>
          </w:r>
        </w:p>
      </w:sdtContent>
    </w:sdt>
    <w:p>
      <w:pPr>
        <w:spacing w:line="240" w:lineRule="auto"/>
        <w:ind w:firstLine="0" w:firstLineChars="0"/>
        <w:rPr>
          <w:rFonts w:ascii="宋体" w:hAnsi="宋体"/>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737" w:gutter="0"/>
          <w:pgNumType w:fmt="decimal" w:start="1"/>
          <w:cols w:space="425" w:num="1"/>
          <w:docGrid w:type="lines" w:linePitch="381" w:charSpace="0"/>
        </w:sectPr>
      </w:pPr>
    </w:p>
    <w:p>
      <w:pPr>
        <w:spacing w:line="240" w:lineRule="auto"/>
        <w:ind w:firstLine="0" w:firstLineChars="0"/>
        <w:rPr>
          <w:rFonts w:ascii="宋体" w:hAnsi="宋体"/>
          <w:sz w:val="21"/>
          <w:szCs w:val="21"/>
        </w:rPr>
      </w:pPr>
    </w:p>
    <w:p>
      <w:pPr>
        <w:pStyle w:val="2"/>
        <w:spacing w:after="190" w:afterLines="50" w:line="480" w:lineRule="exact"/>
        <w:rPr>
          <w:rFonts w:hint="eastAsia" w:ascii="黑体" w:hAnsi="黑体" w:eastAsia="黑体" w:cs="黑体"/>
        </w:rPr>
      </w:pPr>
      <w:bookmarkStart w:id="0" w:name="_Toc107140219"/>
      <w:r>
        <w:rPr>
          <w:rFonts w:hint="eastAsia" w:ascii="黑体" w:hAnsi="黑体" w:eastAsia="黑体" w:cs="黑体"/>
          <w:bCs w:val="0"/>
        </w:rPr>
        <w:t>1总则</w:t>
      </w:r>
      <w:bookmarkEnd w:id="0"/>
    </w:p>
    <w:p>
      <w:pPr>
        <w:spacing w:line="480" w:lineRule="exact"/>
        <w:ind w:firstLine="562" w:firstLineChars="200"/>
      </w:pPr>
      <w:r>
        <w:rPr>
          <w:rFonts w:hint="eastAsia" w:ascii="楷体_GB2312" w:hAnsi="楷体_GB2312" w:eastAsia="楷体_GB2312" w:cs="楷体_GB2312"/>
          <w:b/>
          <w:bCs/>
        </w:rPr>
        <w:t>1.1</w:t>
      </w:r>
      <w:r>
        <w:rPr>
          <w:rFonts w:hint="eastAsia"/>
        </w:rPr>
        <w:t xml:space="preserve"> 为全面贯彻市委、市政府关于加快推进市级方舱医院和隔离用房建设项目结算的有关要求，根据《建筑工程施工发包与承包计价管理办法》（住房和城乡建设部令第16号），参照《基本建设项目建设成本管理规定》（财建〔2016〕504号）和《建筑安装工程费用项目组成》（建标〔2013〕44号），特制定本指引，指导本市市级方舱医院和隔离用房建设项目竣工结算。</w:t>
      </w:r>
    </w:p>
    <w:p>
      <w:pPr>
        <w:spacing w:line="480" w:lineRule="exact"/>
        <w:ind w:firstLine="562" w:firstLineChars="200"/>
      </w:pPr>
      <w:r>
        <w:rPr>
          <w:rFonts w:hint="eastAsia" w:ascii="楷体_GB2312" w:hAnsi="楷体_GB2312" w:eastAsia="楷体_GB2312" w:cs="楷体_GB2312"/>
          <w:b/>
          <w:bCs/>
        </w:rPr>
        <w:t xml:space="preserve">1.2 </w:t>
      </w:r>
      <w:r>
        <w:rPr>
          <w:rFonts w:hint="eastAsia"/>
        </w:rPr>
        <w:t>本指引适用于本市市级方舱医院和隔离用房建设项目建设期工程费用的结算以及设计费、监理费的计算。工程费用包括建筑安装工程费、设备及工器具购置费。设备及工器具购置费是指病床及配套物资费。</w:t>
      </w:r>
    </w:p>
    <w:p>
      <w:pPr>
        <w:spacing w:line="480" w:lineRule="exact"/>
        <w:ind w:firstLine="562" w:firstLineChars="200"/>
      </w:pPr>
      <w:r>
        <w:rPr>
          <w:rFonts w:hint="eastAsia" w:ascii="楷体_GB2312" w:hAnsi="楷体_GB2312" w:eastAsia="楷体_GB2312" w:cs="楷体_GB2312"/>
          <w:b/>
          <w:bCs/>
        </w:rPr>
        <w:t xml:space="preserve">1.3 </w:t>
      </w:r>
      <w:r>
        <w:rPr>
          <w:rFonts w:hint="eastAsia"/>
        </w:rPr>
        <w:t>项目参建各方应遵照依法合规、客观真实、公平公益的原则开展结算工作。</w:t>
      </w:r>
    </w:p>
    <w:p>
      <w:pPr>
        <w:spacing w:line="480" w:lineRule="exact"/>
        <w:ind w:firstLine="562" w:firstLineChars="200"/>
      </w:pPr>
      <w:r>
        <w:rPr>
          <w:rFonts w:hint="eastAsia" w:ascii="楷体_GB2312" w:hAnsi="楷体_GB2312" w:eastAsia="楷体_GB2312" w:cs="楷体_GB2312"/>
          <w:b/>
          <w:bCs/>
        </w:rPr>
        <w:t>1.4</w:t>
      </w:r>
      <w:r>
        <w:rPr>
          <w:rFonts w:hint="eastAsia"/>
        </w:rPr>
        <w:t>根据应急项目工程特点，本市市级方舱医院和隔离用房建设项目工程费用采用成本法进行结算。</w:t>
      </w:r>
    </w:p>
    <w:p>
      <w:pPr>
        <w:spacing w:line="480" w:lineRule="exact"/>
        <w:ind w:firstLine="562" w:firstLineChars="200"/>
      </w:pPr>
      <w:r>
        <w:rPr>
          <w:rFonts w:hint="eastAsia" w:ascii="楷体_GB2312" w:hAnsi="楷体_GB2312" w:eastAsia="楷体_GB2312" w:cs="楷体_GB2312"/>
          <w:b/>
          <w:bCs/>
        </w:rPr>
        <w:t>1.5</w:t>
      </w:r>
      <w:r>
        <w:rPr>
          <w:rFonts w:hint="eastAsia"/>
        </w:rPr>
        <w:t xml:space="preserve"> 市级方舱医院和隔离用房建设项目的建设期和运维期划分以方舱医院开舱日期、隔离用房实际投入使用日期为界限。</w:t>
      </w:r>
    </w:p>
    <w:p>
      <w:pPr>
        <w:spacing w:line="480" w:lineRule="exact"/>
        <w:ind w:firstLine="562" w:firstLineChars="200"/>
      </w:pPr>
      <w:r>
        <w:rPr>
          <w:rFonts w:hint="eastAsia" w:ascii="楷体_GB2312" w:hAnsi="楷体_GB2312" w:eastAsia="楷体_GB2312" w:cs="楷体_GB2312"/>
          <w:b/>
          <w:bCs/>
        </w:rPr>
        <w:t>1.6</w:t>
      </w:r>
      <w:r>
        <w:rPr>
          <w:rFonts w:hint="eastAsia"/>
        </w:rPr>
        <w:t>项目施工</w:t>
      </w:r>
      <w:r>
        <w:t>单位应在</w:t>
      </w:r>
      <w:r>
        <w:rPr>
          <w:rFonts w:hint="eastAsia"/>
        </w:rPr>
        <w:t>收到建设单位结算通知的21日内</w:t>
      </w:r>
      <w:r>
        <w:t>向</w:t>
      </w:r>
      <w:r>
        <w:rPr>
          <w:rFonts w:hint="eastAsia"/>
        </w:rPr>
        <w:t>建设</w:t>
      </w:r>
      <w:r>
        <w:t>单位递交竣工结算报告和完整的结算资料。</w:t>
      </w:r>
      <w:r>
        <w:rPr>
          <w:rFonts w:hint="eastAsia"/>
        </w:rPr>
        <w:t>建设</w:t>
      </w:r>
      <w:r>
        <w:t>单位或者</w:t>
      </w:r>
      <w:r>
        <w:rPr>
          <w:rFonts w:hint="eastAsia"/>
        </w:rPr>
        <w:t>建设</w:t>
      </w:r>
      <w:r>
        <w:t>单位委托的造价咨询机构应在</w:t>
      </w:r>
      <w:r>
        <w:rPr>
          <w:rFonts w:hint="eastAsia"/>
        </w:rPr>
        <w:t>收到</w:t>
      </w:r>
      <w:r>
        <w:t>竣工结算报告</w:t>
      </w:r>
      <w:r>
        <w:rPr>
          <w:rFonts w:hint="eastAsia"/>
        </w:rPr>
        <w:t>和结算资料的45</w:t>
      </w:r>
      <w:r>
        <w:t>日内进行核实，并出具核实意见。</w:t>
      </w:r>
    </w:p>
    <w:p>
      <w:pPr>
        <w:spacing w:line="480" w:lineRule="exact"/>
        <w:ind w:firstLine="562" w:firstLineChars="200"/>
      </w:pPr>
      <w:r>
        <w:rPr>
          <w:rFonts w:hint="eastAsia" w:ascii="楷体_GB2312" w:hAnsi="楷体_GB2312" w:eastAsia="楷体_GB2312" w:cs="楷体_GB2312"/>
          <w:b/>
          <w:bCs/>
        </w:rPr>
        <w:t>1.7</w:t>
      </w:r>
      <w:r>
        <w:rPr>
          <w:rFonts w:hint="eastAsia"/>
        </w:rPr>
        <w:t>市级方舱医院和隔离用房建设项目的结算工作除应符合本指引外，尚应符合国家及本市法律、法规和标准的规定。</w:t>
      </w:r>
    </w:p>
    <w:p>
      <w:pPr>
        <w:spacing w:line="480" w:lineRule="exact"/>
        <w:ind w:firstLine="560"/>
      </w:pPr>
    </w:p>
    <w:p>
      <w:pPr>
        <w:pStyle w:val="2"/>
        <w:spacing w:after="190" w:afterLines="50" w:line="480" w:lineRule="exact"/>
        <w:rPr>
          <w:rFonts w:hint="eastAsia" w:ascii="黑体" w:hAnsi="黑体" w:eastAsia="黑体" w:cs="黑体"/>
          <w:bCs w:val="0"/>
        </w:rPr>
      </w:pPr>
      <w:bookmarkStart w:id="1" w:name="_Toc107140220"/>
      <w:r>
        <w:rPr>
          <w:rFonts w:hint="eastAsia" w:ascii="黑体" w:hAnsi="黑体" w:eastAsia="黑体" w:cs="黑体"/>
          <w:bCs w:val="0"/>
        </w:rPr>
        <w:t>2 工程费用结算资料</w:t>
      </w:r>
      <w:bookmarkEnd w:id="1"/>
    </w:p>
    <w:p>
      <w:pPr>
        <w:pStyle w:val="3"/>
        <w:spacing w:line="480" w:lineRule="exact"/>
        <w:jc w:val="center"/>
        <w:rPr>
          <w:spacing w:val="57"/>
          <w:kern w:val="44"/>
          <w:sz w:val="28"/>
          <w:szCs w:val="28"/>
        </w:rPr>
      </w:pPr>
      <w:bookmarkStart w:id="2" w:name="_Toc107140221"/>
      <w:r>
        <w:rPr>
          <w:rFonts w:hint="eastAsia" w:ascii="楷体_GB2312" w:hAnsi="楷体_GB2312" w:eastAsia="楷体_GB2312" w:cs="楷体_GB2312"/>
          <w:spacing w:val="57"/>
          <w:kern w:val="44"/>
          <w:sz w:val="28"/>
          <w:szCs w:val="28"/>
        </w:rPr>
        <w:t>2.1 一般规定</w:t>
      </w:r>
      <w:bookmarkEnd w:id="2"/>
    </w:p>
    <w:p>
      <w:pPr>
        <w:spacing w:line="480" w:lineRule="exact"/>
        <w:ind w:firstLine="560" w:firstLineChars="200"/>
        <w:rPr>
          <w:szCs w:val="28"/>
        </w:rPr>
      </w:pPr>
      <w:r>
        <w:rPr>
          <w:rFonts w:hint="eastAsia"/>
          <w:szCs w:val="28"/>
        </w:rPr>
        <w:t>2.1.1 施工单位应根据本节要求提供成本结算资料，并对资料的合法性、真实性、有效性、完整性负责。</w:t>
      </w:r>
    </w:p>
    <w:p>
      <w:pPr>
        <w:spacing w:line="480" w:lineRule="exact"/>
        <w:ind w:firstLine="560" w:firstLineChars="200"/>
        <w:rPr>
          <w:szCs w:val="28"/>
        </w:rPr>
      </w:pPr>
      <w:r>
        <w:rPr>
          <w:rFonts w:hint="eastAsia"/>
          <w:szCs w:val="28"/>
        </w:rPr>
        <w:t>2.1.2成本结算资料签署页应由企业法定代表人或其授权人签字，并加盖公章。竣工结算报告签署页应由注册造价工程师签字和盖章。</w:t>
      </w:r>
    </w:p>
    <w:p>
      <w:pPr>
        <w:spacing w:line="480" w:lineRule="exact"/>
        <w:ind w:firstLine="0" w:firstLineChars="0"/>
      </w:pPr>
    </w:p>
    <w:p>
      <w:pPr>
        <w:pStyle w:val="3"/>
        <w:spacing w:line="480" w:lineRule="exact"/>
        <w:jc w:val="center"/>
        <w:rPr>
          <w:spacing w:val="57"/>
          <w:kern w:val="44"/>
          <w:sz w:val="30"/>
          <w:szCs w:val="30"/>
        </w:rPr>
      </w:pPr>
      <w:bookmarkStart w:id="3" w:name="_Toc107140222"/>
      <w:r>
        <w:rPr>
          <w:rFonts w:hint="eastAsia" w:ascii="楷体_GB2312" w:hAnsi="楷体_GB2312" w:eastAsia="楷体_GB2312" w:cs="楷体_GB2312"/>
          <w:spacing w:val="57"/>
          <w:kern w:val="44"/>
          <w:sz w:val="30"/>
          <w:szCs w:val="30"/>
        </w:rPr>
        <w:t>2.2资料清单</w:t>
      </w:r>
      <w:bookmarkEnd w:id="3"/>
    </w:p>
    <w:p>
      <w:pPr>
        <w:spacing w:line="480" w:lineRule="exact"/>
        <w:ind w:firstLine="560" w:firstLineChars="200"/>
      </w:pPr>
      <w:r>
        <w:rPr>
          <w:rFonts w:hint="eastAsia"/>
        </w:rPr>
        <w:t>2.2.1施工单位应提交以下成本结算资料：</w:t>
      </w:r>
    </w:p>
    <w:p>
      <w:pPr>
        <w:spacing w:line="480" w:lineRule="exact"/>
        <w:ind w:firstLine="1120" w:firstLineChars="400"/>
      </w:pPr>
      <w:r>
        <w:rPr>
          <w:rFonts w:hint="eastAsia"/>
        </w:rPr>
        <w:t>1竣工结算报告，包括工程结算书（表）及工程量计算书；</w:t>
      </w:r>
    </w:p>
    <w:p>
      <w:pPr>
        <w:spacing w:line="480" w:lineRule="exact"/>
        <w:ind w:firstLine="1120" w:firstLineChars="400"/>
      </w:pPr>
      <w:r>
        <w:t>2</w:t>
      </w:r>
      <w:r>
        <w:rPr>
          <w:rFonts w:hint="eastAsia"/>
        </w:rPr>
        <w:t>工程设计竣工图纸；</w:t>
      </w:r>
    </w:p>
    <w:p>
      <w:pPr>
        <w:spacing w:line="480" w:lineRule="exact"/>
        <w:ind w:firstLine="1120" w:firstLineChars="400"/>
      </w:pPr>
      <w:r>
        <w:t>3</w:t>
      </w:r>
      <w:r>
        <w:rPr>
          <w:rFonts w:hint="eastAsia"/>
        </w:rPr>
        <w:t>建设工程施工合同；</w:t>
      </w:r>
    </w:p>
    <w:p>
      <w:pPr>
        <w:spacing w:line="480" w:lineRule="exact"/>
        <w:ind w:firstLine="1120" w:firstLineChars="400"/>
      </w:pPr>
      <w:r>
        <w:t>4</w:t>
      </w:r>
      <w:r>
        <w:rPr>
          <w:rFonts w:hint="eastAsia"/>
        </w:rPr>
        <w:t>施工组织设计（如有）；</w:t>
      </w:r>
    </w:p>
    <w:p>
      <w:pPr>
        <w:spacing w:line="480" w:lineRule="exact"/>
        <w:ind w:firstLine="1120" w:firstLineChars="400"/>
      </w:pPr>
      <w:r>
        <w:t>5</w:t>
      </w:r>
      <w:r>
        <w:rPr>
          <w:rFonts w:hint="eastAsia"/>
        </w:rPr>
        <w:t>变更、会议纪要及其他相关说明文件；</w:t>
      </w:r>
    </w:p>
    <w:p>
      <w:pPr>
        <w:spacing w:line="480" w:lineRule="exact"/>
        <w:ind w:firstLine="1120" w:firstLineChars="400"/>
      </w:pPr>
      <w:r>
        <w:t>6</w:t>
      </w:r>
      <w:r>
        <w:rPr>
          <w:rFonts w:hint="eastAsia"/>
        </w:rPr>
        <w:t>工程签证单；</w:t>
      </w:r>
    </w:p>
    <w:p>
      <w:pPr>
        <w:spacing w:line="480" w:lineRule="exact"/>
        <w:ind w:firstLine="1120" w:firstLineChars="400"/>
      </w:pPr>
      <w:r>
        <w:t>7</w:t>
      </w:r>
      <w:r>
        <w:rPr>
          <w:rFonts w:hint="eastAsia"/>
        </w:rPr>
        <w:t>工程交付资料或竣工验收报告；</w:t>
      </w:r>
    </w:p>
    <w:p>
      <w:pPr>
        <w:spacing w:line="480" w:lineRule="exact"/>
        <w:ind w:firstLine="1120" w:firstLineChars="400"/>
      </w:pPr>
      <w:r>
        <w:rPr>
          <w:rFonts w:hint="eastAsia"/>
        </w:rPr>
        <w:t>8 用作成本认定的各类合同，及其他纸质、电子、影像类资料；</w:t>
      </w:r>
    </w:p>
    <w:p>
      <w:pPr>
        <w:spacing w:line="480" w:lineRule="exact"/>
        <w:ind w:firstLine="1120" w:firstLineChars="400"/>
      </w:pPr>
      <w:r>
        <w:rPr>
          <w:rFonts w:hint="eastAsia"/>
        </w:rPr>
        <w:t>9 其他资料。</w:t>
      </w:r>
    </w:p>
    <w:p>
      <w:pPr>
        <w:spacing w:line="480" w:lineRule="exact"/>
        <w:ind w:firstLine="560" w:firstLineChars="200"/>
      </w:pPr>
      <w:r>
        <w:rPr>
          <w:rFonts w:hint="eastAsia"/>
        </w:rPr>
        <w:t>2.2.2 凭证资料分为人工成本凭证资料、材料成本凭证资料、机械成本凭证资料、专业工程成本凭证资料、防疫专项成本凭证资料和现场管理费凭证资料六大类。</w:t>
      </w:r>
    </w:p>
    <w:p>
      <w:pPr>
        <w:spacing w:line="480" w:lineRule="exact"/>
        <w:ind w:firstLine="560" w:firstLineChars="200"/>
      </w:pPr>
      <w:r>
        <w:rPr>
          <w:rFonts w:hint="eastAsia"/>
        </w:rPr>
        <w:t>2.2.3人工成本凭证资料包括以下种类：</w:t>
      </w:r>
    </w:p>
    <w:p>
      <w:pPr>
        <w:spacing w:line="480" w:lineRule="exact"/>
        <w:ind w:firstLine="1120" w:firstLineChars="400"/>
      </w:pPr>
      <w:r>
        <w:rPr>
          <w:rFonts w:hint="eastAsia"/>
        </w:rPr>
        <w:t>1施工现场人员数量证明资料；</w:t>
      </w:r>
    </w:p>
    <w:p>
      <w:pPr>
        <w:spacing w:line="480" w:lineRule="exact"/>
        <w:ind w:firstLine="1120" w:firstLineChars="400"/>
      </w:pPr>
      <w:r>
        <w:rPr>
          <w:rFonts w:hint="eastAsia"/>
        </w:rPr>
        <w:t>2 核酸检测证明资料；</w:t>
      </w:r>
    </w:p>
    <w:p>
      <w:pPr>
        <w:spacing w:line="480" w:lineRule="exact"/>
        <w:ind w:firstLine="1120" w:firstLineChars="400"/>
      </w:pPr>
      <w:r>
        <w:rPr>
          <w:rFonts w:hint="eastAsia"/>
        </w:rPr>
        <w:t>3 现场发放费用证明资料；</w:t>
      </w:r>
    </w:p>
    <w:p>
      <w:pPr>
        <w:spacing w:line="480" w:lineRule="exact"/>
        <w:ind w:firstLine="1120" w:firstLineChars="400"/>
      </w:pPr>
      <w:r>
        <w:rPr>
          <w:rFonts w:hint="eastAsia"/>
        </w:rPr>
        <w:t>4 各类签证记录；</w:t>
      </w:r>
    </w:p>
    <w:p>
      <w:pPr>
        <w:spacing w:line="480" w:lineRule="exact"/>
        <w:ind w:firstLine="1120" w:firstLineChars="400"/>
      </w:pPr>
      <w:r>
        <w:rPr>
          <w:rFonts w:hint="eastAsia"/>
        </w:rPr>
        <w:t>5人员进出场电子记录；</w:t>
      </w:r>
    </w:p>
    <w:p>
      <w:pPr>
        <w:spacing w:line="480" w:lineRule="exact"/>
        <w:ind w:firstLine="1120" w:firstLineChars="400"/>
      </w:pPr>
      <w:r>
        <w:rPr>
          <w:rFonts w:hint="eastAsia"/>
        </w:rPr>
        <w:t>6各类现场记录、施工日报、监理日报、会议记录、影像资料；</w:t>
      </w:r>
    </w:p>
    <w:p>
      <w:pPr>
        <w:spacing w:line="480" w:lineRule="exact"/>
        <w:ind w:firstLine="1120" w:firstLineChars="400"/>
      </w:pPr>
      <w:r>
        <w:rPr>
          <w:rFonts w:hint="eastAsia"/>
        </w:rPr>
        <w:t>7劳务合同及结算支付证明资料；</w:t>
      </w:r>
    </w:p>
    <w:p>
      <w:pPr>
        <w:spacing w:line="480" w:lineRule="exact"/>
        <w:ind w:firstLine="1120" w:firstLineChars="400"/>
      </w:pPr>
      <w:r>
        <w:rPr>
          <w:rFonts w:hint="eastAsia"/>
        </w:rPr>
        <w:t>8其他资料。</w:t>
      </w:r>
    </w:p>
    <w:p>
      <w:pPr>
        <w:spacing w:line="480" w:lineRule="exact"/>
        <w:ind w:firstLine="560" w:firstLineChars="200"/>
      </w:pPr>
      <w:r>
        <w:rPr>
          <w:rFonts w:hint="eastAsia"/>
        </w:rPr>
        <w:t>2.2.4 材料成本凭证资料包括以下种类：</w:t>
      </w:r>
    </w:p>
    <w:p>
      <w:pPr>
        <w:spacing w:line="480" w:lineRule="exact"/>
        <w:ind w:firstLine="1120" w:firstLineChars="400"/>
      </w:pPr>
      <w:r>
        <w:rPr>
          <w:rFonts w:hint="eastAsia"/>
        </w:rPr>
        <w:t>1 材料进出场记录、材料调拨单；</w:t>
      </w:r>
    </w:p>
    <w:p>
      <w:pPr>
        <w:spacing w:line="480" w:lineRule="exact"/>
        <w:ind w:firstLine="1120" w:firstLineChars="400"/>
      </w:pPr>
      <w:r>
        <w:rPr>
          <w:rFonts w:hint="eastAsia"/>
        </w:rPr>
        <w:t>2 材料报验单据；</w:t>
      </w:r>
    </w:p>
    <w:p>
      <w:pPr>
        <w:spacing w:line="480" w:lineRule="exact"/>
        <w:ind w:firstLine="1120" w:firstLineChars="400"/>
      </w:pPr>
      <w:r>
        <w:rPr>
          <w:rFonts w:hint="eastAsia"/>
        </w:rPr>
        <w:t>3 各类签证记录；</w:t>
      </w:r>
    </w:p>
    <w:p>
      <w:pPr>
        <w:spacing w:line="480" w:lineRule="exact"/>
        <w:ind w:firstLine="1120" w:firstLineChars="400"/>
      </w:pPr>
      <w:r>
        <w:rPr>
          <w:rFonts w:hint="eastAsia"/>
        </w:rPr>
        <w:t>4 各类现场记录、施工日报、监理日报、会议记录、影像资料；</w:t>
      </w:r>
    </w:p>
    <w:p>
      <w:pPr>
        <w:spacing w:line="480" w:lineRule="exact"/>
        <w:ind w:firstLine="1120" w:firstLineChars="400"/>
      </w:pPr>
      <w:r>
        <w:rPr>
          <w:rFonts w:hint="eastAsia"/>
        </w:rPr>
        <w:t>5 各类材料采购合同、运输合同及结算支付证明资料；</w:t>
      </w:r>
    </w:p>
    <w:p>
      <w:pPr>
        <w:spacing w:line="480" w:lineRule="exact"/>
        <w:ind w:firstLine="1120" w:firstLineChars="400"/>
      </w:pPr>
      <w:r>
        <w:rPr>
          <w:rFonts w:hint="eastAsia"/>
        </w:rPr>
        <w:t>6 其他资料。</w:t>
      </w:r>
    </w:p>
    <w:p>
      <w:pPr>
        <w:widowControl/>
        <w:spacing w:line="480" w:lineRule="exact"/>
        <w:ind w:firstLine="560" w:firstLineChars="200"/>
        <w:textAlignment w:val="center"/>
      </w:pPr>
      <w:r>
        <w:rPr>
          <w:rFonts w:hint="eastAsia"/>
        </w:rPr>
        <w:t>2.2.5 机械使用成本凭证资料包括以下种类：</w:t>
      </w:r>
    </w:p>
    <w:p>
      <w:pPr>
        <w:spacing w:line="480" w:lineRule="exact"/>
        <w:ind w:firstLine="1120" w:firstLineChars="400"/>
      </w:pPr>
      <w:bookmarkStart w:id="4" w:name="_Toc19188"/>
      <w:bookmarkStart w:id="5" w:name="_Toc6159"/>
      <w:r>
        <w:rPr>
          <w:rFonts w:hint="eastAsia"/>
        </w:rPr>
        <w:t>1 机械使用数量证明资料；</w:t>
      </w:r>
      <w:bookmarkEnd w:id="4"/>
      <w:bookmarkEnd w:id="5"/>
    </w:p>
    <w:p>
      <w:pPr>
        <w:spacing w:line="480" w:lineRule="exact"/>
        <w:ind w:firstLine="1120" w:firstLineChars="400"/>
      </w:pPr>
      <w:bookmarkStart w:id="6" w:name="_Toc7631"/>
      <w:bookmarkStart w:id="7" w:name="_Toc7100"/>
      <w:r>
        <w:rPr>
          <w:rFonts w:hint="eastAsia"/>
        </w:rPr>
        <w:t>2 机械进出场记录；</w:t>
      </w:r>
      <w:bookmarkEnd w:id="6"/>
      <w:bookmarkEnd w:id="7"/>
    </w:p>
    <w:p>
      <w:pPr>
        <w:spacing w:line="480" w:lineRule="exact"/>
        <w:ind w:firstLine="1120" w:firstLineChars="400"/>
      </w:pPr>
      <w:r>
        <w:rPr>
          <w:rFonts w:hint="eastAsia"/>
        </w:rPr>
        <w:t>3 各类签证记录；</w:t>
      </w:r>
    </w:p>
    <w:p>
      <w:pPr>
        <w:spacing w:line="480" w:lineRule="exact"/>
        <w:ind w:firstLine="1120" w:firstLineChars="400"/>
      </w:pPr>
      <w:r>
        <w:rPr>
          <w:rFonts w:hint="eastAsia"/>
        </w:rPr>
        <w:t>4各类现场记录、施工日报、监理日报、会议记录、影像资料；</w:t>
      </w:r>
    </w:p>
    <w:p>
      <w:pPr>
        <w:spacing w:line="480" w:lineRule="exact"/>
        <w:ind w:firstLine="1120" w:firstLineChars="400"/>
      </w:pPr>
      <w:r>
        <w:rPr>
          <w:rFonts w:hint="eastAsia"/>
        </w:rPr>
        <w:t>5其他资料。</w:t>
      </w:r>
    </w:p>
    <w:p>
      <w:pPr>
        <w:widowControl/>
        <w:spacing w:line="480" w:lineRule="exact"/>
        <w:ind w:firstLine="560" w:firstLineChars="200"/>
        <w:textAlignment w:val="center"/>
      </w:pPr>
      <w:r>
        <w:rPr>
          <w:rFonts w:hint="eastAsia"/>
        </w:rPr>
        <w:t>2.2.6 专业工程成本凭证资料包括以下种类：</w:t>
      </w:r>
    </w:p>
    <w:p>
      <w:pPr>
        <w:widowControl/>
        <w:spacing w:line="480" w:lineRule="exact"/>
        <w:ind w:firstLine="1120" w:firstLineChars="400"/>
        <w:jc w:val="left"/>
      </w:pPr>
      <w:r>
        <w:rPr>
          <w:rFonts w:hint="eastAsia"/>
        </w:rPr>
        <w:t>1 工程合同；</w:t>
      </w:r>
    </w:p>
    <w:p>
      <w:pPr>
        <w:widowControl/>
        <w:spacing w:line="480" w:lineRule="exact"/>
        <w:ind w:firstLine="1120" w:firstLineChars="400"/>
        <w:jc w:val="left"/>
      </w:pPr>
      <w:r>
        <w:rPr>
          <w:rFonts w:hint="eastAsia"/>
        </w:rPr>
        <w:t>2 结算支付证明资料；</w:t>
      </w:r>
    </w:p>
    <w:p>
      <w:pPr>
        <w:widowControl/>
        <w:spacing w:line="480" w:lineRule="exact"/>
        <w:ind w:firstLine="1120" w:firstLineChars="400"/>
        <w:jc w:val="left"/>
      </w:pPr>
      <w:r>
        <w:rPr>
          <w:rFonts w:hint="eastAsia"/>
        </w:rPr>
        <w:t>3 工程结算书；</w:t>
      </w:r>
    </w:p>
    <w:p>
      <w:pPr>
        <w:widowControl/>
        <w:spacing w:line="480" w:lineRule="exact"/>
        <w:ind w:firstLine="1120" w:firstLineChars="400"/>
        <w:jc w:val="left"/>
      </w:pPr>
      <w:r>
        <w:rPr>
          <w:rFonts w:hint="eastAsia"/>
        </w:rPr>
        <w:t>4 其他资料。</w:t>
      </w:r>
    </w:p>
    <w:p>
      <w:pPr>
        <w:spacing w:line="480" w:lineRule="exact"/>
        <w:ind w:firstLine="560" w:firstLineChars="200"/>
      </w:pPr>
      <w:r>
        <w:rPr>
          <w:rFonts w:hint="eastAsia"/>
        </w:rPr>
        <w:t>2.2.7 防疫专项成本凭证资料除人工成本凭证中提供的证明资料外，还包括第三方专业防疫消毒证明资料。</w:t>
      </w:r>
    </w:p>
    <w:p>
      <w:pPr>
        <w:widowControl/>
        <w:spacing w:line="480" w:lineRule="exact"/>
        <w:ind w:firstLine="560" w:firstLineChars="200"/>
        <w:jc w:val="left"/>
      </w:pPr>
      <w:r>
        <w:rPr>
          <w:rFonts w:hint="eastAsia"/>
        </w:rPr>
        <w:t>2.2.8现场管理费凭证资料包括以下种类：</w:t>
      </w:r>
    </w:p>
    <w:p>
      <w:pPr>
        <w:widowControl/>
        <w:spacing w:line="480" w:lineRule="exact"/>
        <w:ind w:firstLine="1120" w:firstLineChars="400"/>
        <w:jc w:val="left"/>
      </w:pPr>
      <w:r>
        <w:rPr>
          <w:rFonts w:hint="eastAsia"/>
        </w:rPr>
        <w:t>1 水、电费发票；</w:t>
      </w:r>
    </w:p>
    <w:p>
      <w:pPr>
        <w:widowControl/>
        <w:spacing w:line="480" w:lineRule="exact"/>
        <w:ind w:firstLine="1120" w:firstLineChars="400"/>
        <w:jc w:val="left"/>
      </w:pPr>
      <w:r>
        <w:rPr>
          <w:rFonts w:hint="eastAsia"/>
        </w:rPr>
        <w:t>2 现场管理人员工资证明资料；</w:t>
      </w:r>
    </w:p>
    <w:p>
      <w:pPr>
        <w:widowControl/>
        <w:spacing w:line="480" w:lineRule="exact"/>
        <w:ind w:firstLine="1120" w:firstLineChars="400"/>
        <w:jc w:val="left"/>
      </w:pPr>
      <w:r>
        <w:rPr>
          <w:rFonts w:hint="eastAsia"/>
        </w:rPr>
        <w:t>3 安保、保洁费用证明资料；</w:t>
      </w:r>
    </w:p>
    <w:p>
      <w:pPr>
        <w:widowControl/>
        <w:spacing w:line="480" w:lineRule="exact"/>
        <w:ind w:firstLine="1120" w:firstLineChars="400"/>
        <w:jc w:val="left"/>
      </w:pPr>
      <w:r>
        <w:rPr>
          <w:rFonts w:hint="eastAsia"/>
        </w:rPr>
        <w:t>4 垃圾清运支付证明资料；</w:t>
      </w:r>
    </w:p>
    <w:p>
      <w:pPr>
        <w:widowControl/>
        <w:spacing w:line="480" w:lineRule="exact"/>
        <w:ind w:firstLine="1120" w:firstLineChars="400"/>
        <w:jc w:val="left"/>
      </w:pPr>
      <w:r>
        <w:rPr>
          <w:rFonts w:hint="eastAsia"/>
        </w:rPr>
        <w:t>5 其他资料。</w:t>
      </w:r>
    </w:p>
    <w:p>
      <w:pPr>
        <w:widowControl/>
        <w:spacing w:line="480" w:lineRule="exact"/>
        <w:ind w:firstLine="560"/>
        <w:jc w:val="left"/>
      </w:pPr>
    </w:p>
    <w:p>
      <w:pPr>
        <w:widowControl/>
        <w:spacing w:line="480" w:lineRule="exact"/>
        <w:ind w:firstLine="560"/>
        <w:jc w:val="left"/>
      </w:pPr>
    </w:p>
    <w:p>
      <w:pPr>
        <w:widowControl/>
        <w:spacing w:line="480" w:lineRule="exact"/>
        <w:ind w:firstLine="560"/>
        <w:jc w:val="left"/>
      </w:pPr>
    </w:p>
    <w:p>
      <w:pPr>
        <w:widowControl/>
        <w:spacing w:line="480" w:lineRule="exact"/>
        <w:ind w:firstLine="560"/>
        <w:jc w:val="left"/>
      </w:pPr>
    </w:p>
    <w:p>
      <w:pPr>
        <w:widowControl/>
        <w:spacing w:line="480" w:lineRule="exact"/>
        <w:ind w:firstLine="560"/>
        <w:jc w:val="left"/>
      </w:pPr>
    </w:p>
    <w:p>
      <w:pPr>
        <w:widowControl/>
        <w:spacing w:line="480" w:lineRule="exact"/>
        <w:ind w:firstLine="560"/>
        <w:jc w:val="left"/>
      </w:pPr>
    </w:p>
    <w:p>
      <w:pPr>
        <w:widowControl/>
        <w:spacing w:line="480" w:lineRule="exact"/>
        <w:ind w:firstLine="560"/>
        <w:jc w:val="left"/>
      </w:pPr>
    </w:p>
    <w:p>
      <w:pPr>
        <w:spacing w:line="480" w:lineRule="exact"/>
        <w:ind w:firstLine="560"/>
      </w:pPr>
      <w:r>
        <w:rPr>
          <w:rFonts w:hint="eastAsia"/>
        </w:rPr>
        <w:br w:type="page"/>
      </w:r>
    </w:p>
    <w:p>
      <w:pPr>
        <w:pStyle w:val="2"/>
        <w:spacing w:after="190" w:afterLines="50" w:line="480" w:lineRule="exact"/>
      </w:pPr>
      <w:bookmarkStart w:id="8" w:name="_Toc107140223"/>
      <w:r>
        <w:rPr>
          <w:rFonts w:hint="eastAsia" w:ascii="黑体" w:hAnsi="黑体" w:eastAsia="黑体" w:cs="黑体"/>
        </w:rPr>
        <w:t>3 工程费用分类</w:t>
      </w:r>
      <w:bookmarkEnd w:id="8"/>
    </w:p>
    <w:p>
      <w:pPr>
        <w:pStyle w:val="3"/>
        <w:spacing w:line="480" w:lineRule="exact"/>
        <w:jc w:val="center"/>
        <w:rPr>
          <w:rFonts w:hint="eastAsia" w:ascii="楷体_GB2312" w:hAnsi="楷体_GB2312" w:eastAsia="楷体_GB2312" w:cs="楷体_GB2312"/>
          <w:spacing w:val="57"/>
          <w:kern w:val="44"/>
          <w:sz w:val="30"/>
          <w:szCs w:val="30"/>
        </w:rPr>
      </w:pPr>
      <w:bookmarkStart w:id="9" w:name="_Toc107140224"/>
      <w:r>
        <w:rPr>
          <w:rFonts w:hint="eastAsia" w:ascii="楷体_GB2312" w:hAnsi="楷体_GB2312" w:eastAsia="楷体_GB2312" w:cs="楷体_GB2312"/>
          <w:spacing w:val="57"/>
          <w:kern w:val="44"/>
          <w:sz w:val="30"/>
          <w:szCs w:val="30"/>
        </w:rPr>
        <w:t>3.1 一般规定</w:t>
      </w:r>
      <w:bookmarkEnd w:id="9"/>
    </w:p>
    <w:p>
      <w:pPr>
        <w:widowControl/>
        <w:spacing w:line="480" w:lineRule="exact"/>
        <w:ind w:firstLine="560" w:firstLineChars="200"/>
        <w:jc w:val="left"/>
      </w:pPr>
      <w:r>
        <w:rPr>
          <w:rFonts w:hint="eastAsia"/>
        </w:rPr>
        <w:t>3.1.1建筑安装工程费分为：人工成本、材料成本、机械成本、专业工程成本、防疫专项成本、现场管理费、企业管理费、增值税八类。</w:t>
      </w:r>
    </w:p>
    <w:p>
      <w:pPr>
        <w:widowControl/>
        <w:spacing w:line="480" w:lineRule="exact"/>
        <w:ind w:firstLine="560" w:firstLineChars="200"/>
        <w:jc w:val="left"/>
      </w:pPr>
      <w:r>
        <w:rPr>
          <w:rFonts w:hint="eastAsia"/>
        </w:rPr>
        <w:t>3.1.2 工程费用组成宜按表3.1.2的内容进行划分。</w:t>
      </w:r>
    </w:p>
    <w:p>
      <w:pPr>
        <w:widowControl/>
        <w:spacing w:line="480" w:lineRule="exact"/>
        <w:ind w:firstLine="0" w:firstLineChars="0"/>
        <w:jc w:val="center"/>
        <w:rPr>
          <w:b/>
          <w:bCs/>
          <w:szCs w:val="28"/>
        </w:rPr>
      </w:pPr>
      <w:r>
        <w:rPr>
          <w:rFonts w:hint="eastAsia" w:ascii="宋体" w:hAnsi="宋体" w:cs="宋体"/>
          <w:b/>
          <w:bCs/>
          <w:kern w:val="0"/>
          <w:szCs w:val="28"/>
        </w:rPr>
        <w:t>表3.1.2</w:t>
      </w:r>
      <w:r>
        <w:rPr>
          <w:rFonts w:hint="eastAsia"/>
          <w:b/>
          <w:bCs/>
        </w:rPr>
        <w:t>工程费用</w:t>
      </w:r>
      <w:r>
        <w:rPr>
          <w:rFonts w:hint="eastAsia" w:ascii="宋体" w:hAnsi="宋体" w:cs="宋体"/>
          <w:b/>
          <w:bCs/>
          <w:kern w:val="0"/>
          <w:szCs w:val="28"/>
        </w:rPr>
        <w:t>组成表</w:t>
      </w:r>
    </w:p>
    <w:tbl>
      <w:tblPr>
        <w:tblStyle w:val="15"/>
        <w:tblW w:w="8255" w:type="dxa"/>
        <w:tblInd w:w="93" w:type="dxa"/>
        <w:tblLayout w:type="fixed"/>
        <w:tblCellMar>
          <w:top w:w="0" w:type="dxa"/>
          <w:left w:w="108" w:type="dxa"/>
          <w:bottom w:w="0" w:type="dxa"/>
          <w:right w:w="108" w:type="dxa"/>
        </w:tblCellMar>
      </w:tblPr>
      <w:tblGrid>
        <w:gridCol w:w="1343"/>
        <w:gridCol w:w="2004"/>
        <w:gridCol w:w="4908"/>
      </w:tblGrid>
      <w:tr>
        <w:tblPrEx>
          <w:tblCellMar>
            <w:top w:w="0" w:type="dxa"/>
            <w:left w:w="108" w:type="dxa"/>
            <w:bottom w:w="0" w:type="dxa"/>
            <w:right w:w="108" w:type="dxa"/>
          </w:tblCellMar>
        </w:tblPrEx>
        <w:trPr>
          <w:trHeight w:val="457" w:hRule="atLeast"/>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ascii="宋体" w:hAnsi="宋体" w:cs="宋体"/>
                <w:sz w:val="22"/>
                <w:szCs w:val="22"/>
              </w:rPr>
            </w:pPr>
            <w:r>
              <w:rPr>
                <w:rFonts w:hint="eastAsia" w:ascii="宋体" w:hAnsi="宋体" w:cs="宋体"/>
                <w:kern w:val="0"/>
                <w:sz w:val="22"/>
                <w:szCs w:val="22"/>
              </w:rPr>
              <w:t>分类</w:t>
            </w:r>
          </w:p>
        </w:tc>
        <w:tc>
          <w:tcPr>
            <w:tcW w:w="6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kern w:val="0"/>
                <w:sz w:val="22"/>
                <w:szCs w:val="22"/>
              </w:rPr>
              <w:t>费用组成</w:t>
            </w:r>
          </w:p>
        </w:tc>
      </w:tr>
      <w:tr>
        <w:tblPrEx>
          <w:tblCellMar>
            <w:top w:w="0" w:type="dxa"/>
            <w:left w:w="108" w:type="dxa"/>
            <w:bottom w:w="0" w:type="dxa"/>
            <w:right w:w="108" w:type="dxa"/>
          </w:tblCellMar>
        </w:tblPrEx>
        <w:trPr>
          <w:trHeight w:val="340" w:hRule="exact"/>
        </w:trPr>
        <w:tc>
          <w:tcPr>
            <w:tcW w:w="134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ascii="宋体" w:hAnsi="宋体" w:cs="宋体"/>
                <w:sz w:val="22"/>
                <w:szCs w:val="22"/>
              </w:rPr>
            </w:pPr>
            <w:r>
              <w:rPr>
                <w:rFonts w:hint="eastAsia" w:ascii="宋体" w:hAnsi="宋体" w:cs="宋体"/>
                <w:sz w:val="22"/>
                <w:szCs w:val="22"/>
              </w:rPr>
              <w:t>建筑安装工程费</w:t>
            </w:r>
          </w:p>
        </w:tc>
        <w:tc>
          <w:tcPr>
            <w:tcW w:w="2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ascii="宋体" w:hAnsi="宋体" w:cs="宋体"/>
                <w:sz w:val="22"/>
                <w:szCs w:val="22"/>
              </w:rPr>
            </w:pPr>
            <w:r>
              <w:rPr>
                <w:rFonts w:hint="eastAsia" w:ascii="宋体" w:hAnsi="宋体" w:cs="宋体"/>
                <w:kern w:val="0"/>
                <w:sz w:val="22"/>
                <w:szCs w:val="22"/>
              </w:rPr>
              <w:t>一、人工成本</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trike/>
                <w:sz w:val="22"/>
                <w:szCs w:val="22"/>
              </w:rPr>
            </w:pPr>
            <w:r>
              <w:rPr>
                <w:rFonts w:hint="eastAsia" w:ascii="宋体" w:hAnsi="宋体" w:cs="宋体"/>
                <w:kern w:val="0"/>
                <w:sz w:val="22"/>
                <w:szCs w:val="22"/>
              </w:rPr>
              <w:t>土建人工费</w:t>
            </w:r>
          </w:p>
        </w:tc>
      </w:tr>
      <w:tr>
        <w:tblPrEx>
          <w:tblCellMar>
            <w:top w:w="0" w:type="dxa"/>
            <w:left w:w="108" w:type="dxa"/>
            <w:bottom w:w="0" w:type="dxa"/>
            <w:right w:w="108" w:type="dxa"/>
          </w:tblCellMar>
        </w:tblPrEx>
        <w:trPr>
          <w:trHeight w:val="340" w:hRule="exact"/>
        </w:trPr>
        <w:tc>
          <w:tcPr>
            <w:tcW w:w="1343" w:type="dxa"/>
            <w:vMerge w:val="continue"/>
            <w:tcBorders>
              <w:left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trike/>
                <w:sz w:val="22"/>
                <w:szCs w:val="22"/>
              </w:rPr>
            </w:pPr>
            <w:r>
              <w:rPr>
                <w:rFonts w:hint="eastAsia" w:ascii="宋体" w:hAnsi="宋体" w:cs="宋体"/>
                <w:kern w:val="0"/>
                <w:sz w:val="22"/>
                <w:szCs w:val="22"/>
              </w:rPr>
              <w:t>安装人工费</w:t>
            </w:r>
          </w:p>
        </w:tc>
      </w:tr>
      <w:tr>
        <w:tblPrEx>
          <w:tblCellMar>
            <w:top w:w="0" w:type="dxa"/>
            <w:left w:w="108" w:type="dxa"/>
            <w:bottom w:w="0" w:type="dxa"/>
            <w:right w:w="108" w:type="dxa"/>
          </w:tblCellMar>
        </w:tblPrEx>
        <w:trPr>
          <w:trHeight w:val="340" w:hRule="exact"/>
        </w:trPr>
        <w:tc>
          <w:tcPr>
            <w:tcW w:w="1343" w:type="dxa"/>
            <w:vMerge w:val="continue"/>
            <w:tcBorders>
              <w:left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kern w:val="0"/>
                <w:sz w:val="22"/>
                <w:szCs w:val="22"/>
              </w:rPr>
              <w:t>其他人工费</w:t>
            </w:r>
          </w:p>
        </w:tc>
      </w:tr>
      <w:tr>
        <w:tblPrEx>
          <w:tblCellMar>
            <w:top w:w="0" w:type="dxa"/>
            <w:left w:w="108" w:type="dxa"/>
            <w:bottom w:w="0" w:type="dxa"/>
            <w:right w:w="108" w:type="dxa"/>
          </w:tblCellMar>
        </w:tblPrEx>
        <w:trPr>
          <w:trHeight w:val="340" w:hRule="exact"/>
        </w:trPr>
        <w:tc>
          <w:tcPr>
            <w:tcW w:w="1343" w:type="dxa"/>
            <w:vMerge w:val="continue"/>
            <w:tcBorders>
              <w:left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ascii="宋体" w:hAnsi="宋体" w:cs="宋体"/>
                <w:sz w:val="22"/>
                <w:szCs w:val="22"/>
              </w:rPr>
            </w:pPr>
            <w:r>
              <w:rPr>
                <w:rFonts w:hint="eastAsia" w:ascii="宋体" w:hAnsi="宋体" w:cs="宋体"/>
                <w:kern w:val="0"/>
                <w:sz w:val="22"/>
                <w:szCs w:val="22"/>
              </w:rPr>
              <w:t>二、材料成本</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kern w:val="0"/>
                <w:sz w:val="22"/>
                <w:szCs w:val="22"/>
              </w:rPr>
              <w:t>主要材料费</w:t>
            </w:r>
          </w:p>
        </w:tc>
      </w:tr>
      <w:tr>
        <w:tblPrEx>
          <w:tblCellMar>
            <w:top w:w="0" w:type="dxa"/>
            <w:left w:w="108" w:type="dxa"/>
            <w:bottom w:w="0" w:type="dxa"/>
            <w:right w:w="108" w:type="dxa"/>
          </w:tblCellMar>
        </w:tblPrEx>
        <w:trPr>
          <w:trHeight w:val="340" w:hRule="exact"/>
        </w:trPr>
        <w:tc>
          <w:tcPr>
            <w:tcW w:w="1343" w:type="dxa"/>
            <w:vMerge w:val="continue"/>
            <w:tcBorders>
              <w:left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kern w:val="0"/>
                <w:sz w:val="22"/>
                <w:szCs w:val="22"/>
              </w:rPr>
              <w:t>辅助材料费</w:t>
            </w:r>
          </w:p>
        </w:tc>
      </w:tr>
      <w:tr>
        <w:tblPrEx>
          <w:tblCellMar>
            <w:top w:w="0" w:type="dxa"/>
            <w:left w:w="108" w:type="dxa"/>
            <w:bottom w:w="0" w:type="dxa"/>
            <w:right w:w="108" w:type="dxa"/>
          </w:tblCellMar>
        </w:tblPrEx>
        <w:trPr>
          <w:trHeight w:val="340" w:hRule="exact"/>
        </w:trPr>
        <w:tc>
          <w:tcPr>
            <w:tcW w:w="1343" w:type="dxa"/>
            <w:vMerge w:val="continue"/>
            <w:tcBorders>
              <w:left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kern w:val="0"/>
                <w:sz w:val="22"/>
                <w:szCs w:val="22"/>
              </w:rPr>
              <w:t>第三方运输费</w:t>
            </w:r>
          </w:p>
        </w:tc>
      </w:tr>
      <w:tr>
        <w:tblPrEx>
          <w:tblCellMar>
            <w:top w:w="0" w:type="dxa"/>
            <w:left w:w="108" w:type="dxa"/>
            <w:bottom w:w="0" w:type="dxa"/>
            <w:right w:w="108" w:type="dxa"/>
          </w:tblCellMar>
        </w:tblPrEx>
        <w:trPr>
          <w:trHeight w:val="340" w:hRule="exact"/>
        </w:trPr>
        <w:tc>
          <w:tcPr>
            <w:tcW w:w="1343" w:type="dxa"/>
            <w:vMerge w:val="continue"/>
            <w:tcBorders>
              <w:left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ascii="宋体" w:hAnsi="宋体" w:cs="宋体"/>
                <w:sz w:val="22"/>
                <w:szCs w:val="22"/>
              </w:rPr>
            </w:pPr>
            <w:r>
              <w:rPr>
                <w:rFonts w:hint="eastAsia" w:ascii="宋体" w:hAnsi="宋体" w:cs="宋体"/>
                <w:kern w:val="0"/>
                <w:sz w:val="22"/>
                <w:szCs w:val="22"/>
              </w:rPr>
              <w:t>三、机械成本</w:t>
            </w:r>
            <w:r>
              <w:rPr>
                <w:rFonts w:hint="eastAsia" w:ascii="宋体" w:hAnsi="宋体" w:cs="宋体"/>
                <w:kern w:val="0"/>
                <w:sz w:val="22"/>
                <w:szCs w:val="22"/>
              </w:rPr>
              <w:br w:type="textWrapping"/>
            </w:r>
            <w:r>
              <w:rPr>
                <w:rFonts w:hint="eastAsia" w:ascii="宋体" w:hAnsi="宋体" w:cs="宋体"/>
                <w:kern w:val="0"/>
                <w:sz w:val="22"/>
                <w:szCs w:val="22"/>
              </w:rPr>
              <w:t>（不含水、电费）</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kern w:val="0"/>
                <w:sz w:val="22"/>
                <w:szCs w:val="22"/>
              </w:rPr>
              <w:t>施工机械租赁费</w:t>
            </w:r>
          </w:p>
        </w:tc>
      </w:tr>
      <w:tr>
        <w:tblPrEx>
          <w:tblCellMar>
            <w:top w:w="0" w:type="dxa"/>
            <w:left w:w="108" w:type="dxa"/>
            <w:bottom w:w="0" w:type="dxa"/>
            <w:right w:w="108" w:type="dxa"/>
          </w:tblCellMar>
        </w:tblPrEx>
        <w:trPr>
          <w:trHeight w:val="340" w:hRule="exact"/>
        </w:trPr>
        <w:tc>
          <w:tcPr>
            <w:tcW w:w="1343" w:type="dxa"/>
            <w:vMerge w:val="continue"/>
            <w:tcBorders>
              <w:left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kern w:val="0"/>
                <w:sz w:val="22"/>
                <w:szCs w:val="22"/>
              </w:rPr>
              <w:t>自有机械使用费</w:t>
            </w:r>
          </w:p>
        </w:tc>
      </w:tr>
      <w:tr>
        <w:tblPrEx>
          <w:tblCellMar>
            <w:top w:w="0" w:type="dxa"/>
            <w:left w:w="108" w:type="dxa"/>
            <w:bottom w:w="0" w:type="dxa"/>
            <w:right w:w="108" w:type="dxa"/>
          </w:tblCellMar>
        </w:tblPrEx>
        <w:trPr>
          <w:trHeight w:val="340" w:hRule="exact"/>
        </w:trPr>
        <w:tc>
          <w:tcPr>
            <w:tcW w:w="1343" w:type="dxa"/>
            <w:vMerge w:val="continue"/>
            <w:tcBorders>
              <w:left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ascii="宋体" w:hAnsi="宋体" w:cs="宋体"/>
                <w:sz w:val="22"/>
                <w:szCs w:val="22"/>
              </w:rPr>
            </w:pPr>
            <w:r>
              <w:rPr>
                <w:rFonts w:hint="eastAsia" w:ascii="宋体" w:hAnsi="宋体" w:cs="宋体"/>
                <w:sz w:val="22"/>
                <w:szCs w:val="22"/>
              </w:rPr>
              <w:t>四、专业工程成本</w:t>
            </w:r>
          </w:p>
        </w:tc>
        <w:tc>
          <w:tcPr>
            <w:tcW w:w="490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sz w:val="22"/>
                <w:szCs w:val="22"/>
              </w:rPr>
              <w:t>电力工程费</w:t>
            </w:r>
          </w:p>
        </w:tc>
      </w:tr>
      <w:tr>
        <w:tblPrEx>
          <w:tblCellMar>
            <w:top w:w="0" w:type="dxa"/>
            <w:left w:w="108" w:type="dxa"/>
            <w:bottom w:w="0" w:type="dxa"/>
            <w:right w:w="108" w:type="dxa"/>
          </w:tblCellMar>
        </w:tblPrEx>
        <w:trPr>
          <w:trHeight w:val="340" w:hRule="exact"/>
        </w:trPr>
        <w:tc>
          <w:tcPr>
            <w:tcW w:w="1343" w:type="dxa"/>
            <w:vMerge w:val="continue"/>
            <w:tcBorders>
              <w:left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320" w:lineRule="exact"/>
              <w:ind w:firstLine="0" w:firstLineChars="0"/>
              <w:textAlignment w:val="center"/>
              <w:rPr>
                <w:rFonts w:ascii="宋体" w:hAnsi="宋体" w:cs="宋体"/>
                <w:sz w:val="22"/>
                <w:szCs w:val="22"/>
              </w:rPr>
            </w:pPr>
          </w:p>
        </w:tc>
        <w:tc>
          <w:tcPr>
            <w:tcW w:w="490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sz w:val="22"/>
                <w:szCs w:val="22"/>
              </w:rPr>
              <w:t>通信工程费</w:t>
            </w:r>
          </w:p>
        </w:tc>
      </w:tr>
      <w:tr>
        <w:tblPrEx>
          <w:tblCellMar>
            <w:top w:w="0" w:type="dxa"/>
            <w:left w:w="108" w:type="dxa"/>
            <w:bottom w:w="0" w:type="dxa"/>
            <w:right w:w="108" w:type="dxa"/>
          </w:tblCellMar>
        </w:tblPrEx>
        <w:trPr>
          <w:trHeight w:val="340" w:hRule="exact"/>
        </w:trPr>
        <w:tc>
          <w:tcPr>
            <w:tcW w:w="1343" w:type="dxa"/>
            <w:vMerge w:val="continue"/>
            <w:tcBorders>
              <w:left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restart"/>
            <w:tcBorders>
              <w:top w:val="single" w:color="auto" w:sz="4" w:space="0"/>
              <w:left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五、防疫专项成本</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kern w:val="0"/>
                <w:sz w:val="22"/>
                <w:szCs w:val="22"/>
              </w:rPr>
              <w:t>建设期防疫物资费</w:t>
            </w:r>
          </w:p>
        </w:tc>
      </w:tr>
      <w:tr>
        <w:tblPrEx>
          <w:tblCellMar>
            <w:top w:w="0" w:type="dxa"/>
            <w:left w:w="108" w:type="dxa"/>
            <w:bottom w:w="0" w:type="dxa"/>
            <w:right w:w="108" w:type="dxa"/>
          </w:tblCellMar>
        </w:tblPrEx>
        <w:trPr>
          <w:trHeight w:val="340" w:hRule="exact"/>
        </w:trPr>
        <w:tc>
          <w:tcPr>
            <w:tcW w:w="1343" w:type="dxa"/>
            <w:vMerge w:val="continue"/>
            <w:tcBorders>
              <w:left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sz w:val="22"/>
                <w:szCs w:val="22"/>
              </w:rPr>
              <w:t>核酸检测费</w:t>
            </w:r>
          </w:p>
        </w:tc>
      </w:tr>
      <w:tr>
        <w:tblPrEx>
          <w:tblCellMar>
            <w:top w:w="0" w:type="dxa"/>
            <w:left w:w="108" w:type="dxa"/>
            <w:bottom w:w="0" w:type="dxa"/>
            <w:right w:w="108" w:type="dxa"/>
          </w:tblCellMar>
        </w:tblPrEx>
        <w:trPr>
          <w:trHeight w:val="340" w:hRule="exact"/>
        </w:trPr>
        <w:tc>
          <w:tcPr>
            <w:tcW w:w="1343" w:type="dxa"/>
            <w:vMerge w:val="continue"/>
            <w:tcBorders>
              <w:left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kern w:val="0"/>
                <w:sz w:val="22"/>
                <w:szCs w:val="22"/>
              </w:rPr>
              <w:t>第三方专业防疫消毒费</w:t>
            </w:r>
          </w:p>
        </w:tc>
      </w:tr>
      <w:tr>
        <w:tblPrEx>
          <w:tblCellMar>
            <w:top w:w="0" w:type="dxa"/>
            <w:left w:w="108" w:type="dxa"/>
            <w:bottom w:w="0" w:type="dxa"/>
            <w:right w:w="108" w:type="dxa"/>
          </w:tblCellMar>
        </w:tblPrEx>
        <w:trPr>
          <w:trHeight w:val="340" w:hRule="exact"/>
        </w:trPr>
        <w:tc>
          <w:tcPr>
            <w:tcW w:w="1343" w:type="dxa"/>
            <w:vMerge w:val="continue"/>
            <w:tcBorders>
              <w:left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kern w:val="0"/>
                <w:sz w:val="22"/>
                <w:szCs w:val="22"/>
              </w:rPr>
              <w:t>人员隔离费</w:t>
            </w:r>
          </w:p>
        </w:tc>
      </w:tr>
      <w:tr>
        <w:tblPrEx>
          <w:tblCellMar>
            <w:top w:w="0" w:type="dxa"/>
            <w:left w:w="108" w:type="dxa"/>
            <w:bottom w:w="0" w:type="dxa"/>
            <w:right w:w="108" w:type="dxa"/>
          </w:tblCellMar>
        </w:tblPrEx>
        <w:trPr>
          <w:trHeight w:val="340" w:hRule="exact"/>
        </w:trPr>
        <w:tc>
          <w:tcPr>
            <w:tcW w:w="1343" w:type="dxa"/>
            <w:vMerge w:val="continue"/>
            <w:tcBorders>
              <w:left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kern w:val="0"/>
                <w:sz w:val="22"/>
                <w:szCs w:val="22"/>
              </w:rPr>
            </w:pPr>
            <w:r>
              <w:rPr>
                <w:rFonts w:hint="eastAsia" w:ascii="宋体" w:hAnsi="宋体" w:cs="宋体"/>
                <w:sz w:val="22"/>
                <w:szCs w:val="22"/>
              </w:rPr>
              <w:t>工人误工补贴及</w:t>
            </w:r>
            <w:r>
              <w:rPr>
                <w:rFonts w:hint="eastAsia" w:ascii="宋体" w:hAnsi="宋体" w:cs="宋体"/>
                <w:kern w:val="0"/>
                <w:sz w:val="22"/>
                <w:szCs w:val="22"/>
              </w:rPr>
              <w:t>健康关爱金</w:t>
            </w:r>
          </w:p>
        </w:tc>
      </w:tr>
      <w:tr>
        <w:tblPrEx>
          <w:tblCellMar>
            <w:top w:w="0" w:type="dxa"/>
            <w:left w:w="108" w:type="dxa"/>
            <w:bottom w:w="0" w:type="dxa"/>
            <w:right w:w="108" w:type="dxa"/>
          </w:tblCellMar>
        </w:tblPrEx>
        <w:trPr>
          <w:trHeight w:val="340" w:hRule="exact"/>
        </w:trPr>
        <w:tc>
          <w:tcPr>
            <w:tcW w:w="1343" w:type="dxa"/>
            <w:vMerge w:val="continue"/>
            <w:tcBorders>
              <w:left w:val="single" w:color="000000" w:sz="4" w:space="0"/>
              <w:bottom w:val="single" w:color="auto"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ind w:firstLine="0" w:firstLineChars="0"/>
              <w:textAlignment w:val="center"/>
              <w:rPr>
                <w:rFonts w:ascii="宋体" w:hAnsi="宋体" w:cs="宋体"/>
                <w:sz w:val="22"/>
                <w:szCs w:val="22"/>
              </w:rPr>
            </w:pPr>
            <w:r>
              <w:rPr>
                <w:rFonts w:hint="eastAsia" w:ascii="宋体" w:hAnsi="宋体" w:cs="宋体"/>
                <w:kern w:val="0"/>
                <w:sz w:val="22"/>
                <w:szCs w:val="22"/>
              </w:rPr>
              <w:t>六、现场管理费</w:t>
            </w:r>
          </w:p>
        </w:tc>
        <w:tc>
          <w:tcPr>
            <w:tcW w:w="490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kern w:val="0"/>
                <w:sz w:val="22"/>
                <w:szCs w:val="22"/>
              </w:rPr>
              <w:t>现场管理人员工资</w:t>
            </w:r>
          </w:p>
        </w:tc>
      </w:tr>
      <w:tr>
        <w:tblPrEx>
          <w:tblCellMar>
            <w:top w:w="0" w:type="dxa"/>
            <w:left w:w="108" w:type="dxa"/>
            <w:bottom w:w="0" w:type="dxa"/>
            <w:right w:w="108" w:type="dxa"/>
          </w:tblCellMar>
        </w:tblPrEx>
        <w:trPr>
          <w:trHeight w:val="340" w:hRule="exact"/>
        </w:trPr>
        <w:tc>
          <w:tcPr>
            <w:tcW w:w="1343" w:type="dxa"/>
            <w:vMerge w:val="continue"/>
            <w:tcBorders>
              <w:top w:val="single" w:color="auto" w:sz="4" w:space="0"/>
              <w:left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490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kern w:val="0"/>
                <w:sz w:val="22"/>
                <w:szCs w:val="22"/>
              </w:rPr>
              <w:t>建设期生活物资费</w:t>
            </w:r>
          </w:p>
        </w:tc>
      </w:tr>
      <w:tr>
        <w:tblPrEx>
          <w:tblCellMar>
            <w:top w:w="0" w:type="dxa"/>
            <w:left w:w="108" w:type="dxa"/>
            <w:bottom w:w="0" w:type="dxa"/>
            <w:right w:w="108" w:type="dxa"/>
          </w:tblCellMar>
        </w:tblPrEx>
        <w:trPr>
          <w:trHeight w:val="340" w:hRule="exact"/>
        </w:trPr>
        <w:tc>
          <w:tcPr>
            <w:tcW w:w="1343" w:type="dxa"/>
            <w:vMerge w:val="continue"/>
            <w:tcBorders>
              <w:left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490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kern w:val="0"/>
                <w:sz w:val="22"/>
                <w:szCs w:val="22"/>
              </w:rPr>
              <w:t>水费、电费</w:t>
            </w:r>
          </w:p>
        </w:tc>
      </w:tr>
      <w:tr>
        <w:tblPrEx>
          <w:tblCellMar>
            <w:top w:w="0" w:type="dxa"/>
            <w:left w:w="108" w:type="dxa"/>
            <w:bottom w:w="0" w:type="dxa"/>
            <w:right w:w="108" w:type="dxa"/>
          </w:tblCellMar>
        </w:tblPrEx>
        <w:trPr>
          <w:trHeight w:val="340" w:hRule="exact"/>
        </w:trPr>
        <w:tc>
          <w:tcPr>
            <w:tcW w:w="1343" w:type="dxa"/>
            <w:vMerge w:val="continue"/>
            <w:tcBorders>
              <w:left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490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kern w:val="0"/>
                <w:sz w:val="22"/>
                <w:szCs w:val="22"/>
              </w:rPr>
              <w:t>安保、保洁费</w:t>
            </w:r>
          </w:p>
        </w:tc>
      </w:tr>
      <w:tr>
        <w:tblPrEx>
          <w:tblCellMar>
            <w:top w:w="0" w:type="dxa"/>
            <w:left w:w="108" w:type="dxa"/>
            <w:bottom w:w="0" w:type="dxa"/>
            <w:right w:w="108" w:type="dxa"/>
          </w:tblCellMar>
        </w:tblPrEx>
        <w:trPr>
          <w:trHeight w:val="340" w:hRule="exact"/>
        </w:trPr>
        <w:tc>
          <w:tcPr>
            <w:tcW w:w="1343" w:type="dxa"/>
            <w:vMerge w:val="continue"/>
            <w:tcBorders>
              <w:left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490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kern w:val="0"/>
                <w:sz w:val="22"/>
                <w:szCs w:val="22"/>
              </w:rPr>
              <w:t>垃圾清运费</w:t>
            </w:r>
          </w:p>
        </w:tc>
      </w:tr>
      <w:tr>
        <w:tblPrEx>
          <w:tblCellMar>
            <w:top w:w="0" w:type="dxa"/>
            <w:left w:w="108" w:type="dxa"/>
            <w:bottom w:w="0" w:type="dxa"/>
            <w:right w:w="108" w:type="dxa"/>
          </w:tblCellMar>
        </w:tblPrEx>
        <w:trPr>
          <w:trHeight w:val="340" w:hRule="exact"/>
        </w:trPr>
        <w:tc>
          <w:tcPr>
            <w:tcW w:w="1343" w:type="dxa"/>
            <w:vMerge w:val="continue"/>
            <w:tcBorders>
              <w:left w:val="single" w:color="000000"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20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20" w:lineRule="exact"/>
              <w:ind w:firstLine="440"/>
              <w:jc w:val="center"/>
              <w:rPr>
                <w:rFonts w:ascii="宋体" w:hAnsi="宋体" w:cs="宋体"/>
                <w:sz w:val="22"/>
                <w:szCs w:val="22"/>
              </w:rPr>
            </w:pPr>
          </w:p>
        </w:tc>
        <w:tc>
          <w:tcPr>
            <w:tcW w:w="490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kern w:val="0"/>
                <w:sz w:val="22"/>
                <w:szCs w:val="22"/>
              </w:rPr>
              <w:t>人员调遣费</w:t>
            </w:r>
          </w:p>
        </w:tc>
      </w:tr>
      <w:tr>
        <w:tblPrEx>
          <w:tblCellMar>
            <w:top w:w="0" w:type="dxa"/>
            <w:left w:w="108" w:type="dxa"/>
            <w:bottom w:w="0" w:type="dxa"/>
            <w:right w:w="108" w:type="dxa"/>
          </w:tblCellMar>
        </w:tblPrEx>
        <w:trPr>
          <w:trHeight w:val="270" w:hRule="atLeast"/>
        </w:trPr>
        <w:tc>
          <w:tcPr>
            <w:tcW w:w="1343" w:type="dxa"/>
            <w:vMerge w:val="continue"/>
            <w:tcBorders>
              <w:left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ascii="宋体" w:hAnsi="宋体" w:cs="宋体"/>
                <w:sz w:val="22"/>
                <w:szCs w:val="22"/>
              </w:rPr>
            </w:pPr>
          </w:p>
        </w:tc>
        <w:tc>
          <w:tcPr>
            <w:tcW w:w="2004"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七、企业管理费</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ascii="宋体" w:hAnsi="宋体" w:cs="宋体"/>
                <w:sz w:val="22"/>
                <w:szCs w:val="22"/>
              </w:rPr>
            </w:pPr>
            <w:r>
              <w:rPr>
                <w:rFonts w:hint="eastAsia" w:ascii="宋体" w:hAnsi="宋体" w:cs="宋体"/>
                <w:kern w:val="0"/>
                <w:sz w:val="22"/>
                <w:szCs w:val="22"/>
              </w:rPr>
              <w:t>办公费、小型工器具使用费、场外管理人员职工薪酬、企业规费、其他附加税等</w:t>
            </w:r>
          </w:p>
        </w:tc>
      </w:tr>
      <w:tr>
        <w:tblPrEx>
          <w:tblCellMar>
            <w:top w:w="0" w:type="dxa"/>
            <w:left w:w="108" w:type="dxa"/>
            <w:bottom w:w="0" w:type="dxa"/>
            <w:right w:w="108" w:type="dxa"/>
          </w:tblCellMar>
        </w:tblPrEx>
        <w:trPr>
          <w:trHeight w:val="501" w:hRule="atLeast"/>
        </w:trPr>
        <w:tc>
          <w:tcPr>
            <w:tcW w:w="1343"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320" w:lineRule="exact"/>
              <w:ind w:firstLine="0" w:firstLineChars="0"/>
              <w:textAlignment w:val="center"/>
              <w:rPr>
                <w:rFonts w:ascii="宋体" w:hAnsi="宋体" w:cs="宋体"/>
                <w:sz w:val="22"/>
                <w:szCs w:val="22"/>
              </w:rPr>
            </w:pPr>
          </w:p>
        </w:tc>
        <w:tc>
          <w:tcPr>
            <w:tcW w:w="2004"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八、增值税</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sz w:val="22"/>
                <w:szCs w:val="22"/>
              </w:rPr>
            </w:pPr>
            <w:r>
              <w:rPr>
                <w:rFonts w:hint="eastAsia" w:ascii="宋体" w:hAnsi="宋体" w:cs="宋体"/>
                <w:kern w:val="0"/>
                <w:sz w:val="22"/>
                <w:szCs w:val="22"/>
              </w:rPr>
              <w:t>增值税</w:t>
            </w:r>
          </w:p>
        </w:tc>
      </w:tr>
      <w:tr>
        <w:tblPrEx>
          <w:tblCellMar>
            <w:top w:w="0" w:type="dxa"/>
            <w:left w:w="108" w:type="dxa"/>
            <w:bottom w:w="0" w:type="dxa"/>
            <w:right w:w="108" w:type="dxa"/>
          </w:tblCellMar>
        </w:tblPrEx>
        <w:trPr>
          <w:trHeight w:val="90" w:hRule="atLeast"/>
        </w:trPr>
        <w:tc>
          <w:tcPr>
            <w:tcW w:w="134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ascii="宋体" w:hAnsi="宋体" w:cs="宋体"/>
                <w:sz w:val="22"/>
                <w:szCs w:val="22"/>
              </w:rPr>
            </w:pPr>
            <w:r>
              <w:rPr>
                <w:rFonts w:hint="eastAsia" w:ascii="宋体" w:hAnsi="宋体" w:cs="宋体"/>
                <w:kern w:val="0"/>
                <w:sz w:val="22"/>
                <w:szCs w:val="22"/>
              </w:rPr>
              <w:t>设备及工器具购置费</w:t>
            </w:r>
          </w:p>
        </w:tc>
        <w:tc>
          <w:tcPr>
            <w:tcW w:w="6912"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320" w:lineRule="exact"/>
              <w:ind w:firstLine="440"/>
              <w:jc w:val="center"/>
              <w:textAlignment w:val="center"/>
              <w:rPr>
                <w:rFonts w:ascii="宋体" w:hAnsi="宋体" w:cs="宋体"/>
                <w:kern w:val="0"/>
                <w:sz w:val="22"/>
                <w:szCs w:val="22"/>
              </w:rPr>
            </w:pPr>
            <w:r>
              <w:rPr>
                <w:rFonts w:hint="eastAsia" w:ascii="宋体" w:hAnsi="宋体" w:cs="宋体"/>
                <w:kern w:val="0"/>
                <w:sz w:val="22"/>
                <w:szCs w:val="22"/>
              </w:rPr>
              <w:t>病床及配套物资费</w:t>
            </w:r>
          </w:p>
        </w:tc>
      </w:tr>
    </w:tbl>
    <w:p>
      <w:pPr>
        <w:pStyle w:val="3"/>
        <w:spacing w:line="480" w:lineRule="exact"/>
        <w:jc w:val="center"/>
        <w:rPr>
          <w:spacing w:val="57"/>
          <w:kern w:val="44"/>
          <w:sz w:val="30"/>
          <w:szCs w:val="30"/>
        </w:rPr>
      </w:pPr>
      <w:bookmarkStart w:id="10" w:name="_Toc107140225"/>
      <w:r>
        <w:rPr>
          <w:rFonts w:hint="eastAsia" w:ascii="楷体_GB2312" w:hAnsi="楷体_GB2312" w:eastAsia="楷体_GB2312" w:cs="楷体_GB2312"/>
          <w:spacing w:val="57"/>
          <w:kern w:val="44"/>
          <w:sz w:val="30"/>
          <w:szCs w:val="30"/>
        </w:rPr>
        <w:t>3.2人工成本</w:t>
      </w:r>
      <w:bookmarkEnd w:id="10"/>
    </w:p>
    <w:p>
      <w:pPr>
        <w:spacing w:line="480" w:lineRule="exact"/>
        <w:ind w:firstLine="560" w:firstLineChars="200"/>
      </w:pPr>
      <w:r>
        <w:rPr>
          <w:rFonts w:hint="eastAsia"/>
        </w:rPr>
        <w:t>3.2.1人工成本是指因建筑用工发生的工人工资薪酬或者劳务费，包括建筑工人工资、加班费、节假日补贴以及委托劳务企业产生的费用。</w:t>
      </w:r>
    </w:p>
    <w:p>
      <w:pPr>
        <w:spacing w:line="480" w:lineRule="exact"/>
        <w:ind w:firstLine="560" w:firstLineChars="200"/>
      </w:pPr>
      <w:r>
        <w:rPr>
          <w:rFonts w:hint="eastAsia"/>
        </w:rPr>
        <w:t>3.2.2人工成本可按照土建工、安装工等不同工种分别计列。人工单价可根据项目实际情况，区分白班工、夜班工及超时工等。</w:t>
      </w:r>
    </w:p>
    <w:p>
      <w:pPr>
        <w:spacing w:line="480" w:lineRule="exact"/>
        <w:ind w:firstLine="0" w:firstLineChars="0"/>
      </w:pPr>
    </w:p>
    <w:p>
      <w:pPr>
        <w:pStyle w:val="3"/>
        <w:spacing w:line="480" w:lineRule="exact"/>
        <w:jc w:val="center"/>
        <w:rPr>
          <w:rFonts w:hint="eastAsia" w:ascii="楷体_GB2312" w:hAnsi="楷体_GB2312" w:eastAsia="楷体_GB2312" w:cs="楷体_GB2312"/>
          <w:spacing w:val="57"/>
          <w:kern w:val="44"/>
          <w:sz w:val="30"/>
          <w:szCs w:val="30"/>
        </w:rPr>
      </w:pPr>
      <w:bookmarkStart w:id="11" w:name="_Toc107140226"/>
      <w:r>
        <w:rPr>
          <w:rFonts w:hint="eastAsia" w:ascii="楷体_GB2312" w:hAnsi="楷体_GB2312" w:eastAsia="楷体_GB2312" w:cs="楷体_GB2312"/>
          <w:spacing w:val="57"/>
          <w:kern w:val="44"/>
          <w:sz w:val="30"/>
          <w:szCs w:val="30"/>
        </w:rPr>
        <w:t>3.3 材料成本</w:t>
      </w:r>
      <w:bookmarkEnd w:id="11"/>
    </w:p>
    <w:p>
      <w:pPr>
        <w:spacing w:line="480" w:lineRule="exact"/>
        <w:ind w:firstLine="560" w:firstLineChars="200"/>
        <w:rPr>
          <w:rFonts w:hint="eastAsia" w:ascii="仿宋_GB2312" w:hAnsi="仿宋_GB2312" w:eastAsia="仿宋_GB2312" w:cs="仿宋_GB2312"/>
        </w:rPr>
      </w:pPr>
      <w:r>
        <w:rPr>
          <w:rFonts w:hint="eastAsia" w:ascii="Times New Roman" w:hAnsi="Times New Roman" w:eastAsia="宋体" w:cstheme="minorBidi"/>
        </w:rPr>
        <w:t>3.3.1</w:t>
      </w:r>
      <w:r>
        <w:rPr>
          <w:rFonts w:hint="eastAsia" w:ascii="宋体" w:hAnsi="宋体" w:eastAsia="宋体" w:cs="宋体"/>
        </w:rPr>
        <w:t>材料成本包括主要材料费、辅助材料费和第三方运输费。</w:t>
      </w:r>
    </w:p>
    <w:p>
      <w:pPr>
        <w:spacing w:line="480" w:lineRule="exact"/>
        <w:ind w:firstLine="560" w:firstLineChars="200"/>
        <w:rPr>
          <w:rFonts w:hint="eastAsia" w:ascii="仿宋_GB2312" w:hAnsi="仿宋_GB2312" w:eastAsia="仿宋_GB2312" w:cs="仿宋_GB2312"/>
        </w:rPr>
      </w:pPr>
      <w:r>
        <w:rPr>
          <w:rFonts w:hint="eastAsia" w:ascii="Times New Roman" w:hAnsi="Times New Roman" w:eastAsia="宋体" w:cstheme="minorBidi"/>
        </w:rPr>
        <w:t>3.3.2</w:t>
      </w:r>
      <w:r>
        <w:rPr>
          <w:rFonts w:hint="eastAsia" w:ascii="仿宋_GB2312" w:hAnsi="仿宋_GB2312" w:eastAsia="仿宋_GB2312" w:cs="仿宋_GB2312"/>
        </w:rPr>
        <w:t xml:space="preserve"> </w:t>
      </w:r>
      <w:r>
        <w:rPr>
          <w:rFonts w:hint="eastAsia" w:ascii="宋体" w:hAnsi="宋体" w:eastAsia="宋体" w:cs="宋体"/>
        </w:rPr>
        <w:t>计算材料费的价格中未含材料运输费的，如有委托第三方运输发生的费用，可以单独计列。</w:t>
      </w:r>
    </w:p>
    <w:p>
      <w:pPr>
        <w:spacing w:line="480" w:lineRule="exact"/>
        <w:ind w:firstLine="0" w:firstLineChars="0"/>
      </w:pPr>
    </w:p>
    <w:p>
      <w:pPr>
        <w:pStyle w:val="3"/>
        <w:spacing w:line="480" w:lineRule="exact"/>
        <w:jc w:val="center"/>
        <w:rPr>
          <w:rFonts w:hint="eastAsia" w:ascii="楷体_GB2312" w:hAnsi="楷体_GB2312" w:eastAsia="楷体_GB2312" w:cs="楷体_GB2312"/>
          <w:spacing w:val="57"/>
          <w:kern w:val="44"/>
          <w:sz w:val="30"/>
          <w:szCs w:val="30"/>
        </w:rPr>
      </w:pPr>
      <w:bookmarkStart w:id="12" w:name="_Toc107140227"/>
      <w:r>
        <w:rPr>
          <w:rFonts w:hint="eastAsia" w:ascii="楷体_GB2312" w:hAnsi="楷体_GB2312" w:eastAsia="楷体_GB2312" w:cs="楷体_GB2312"/>
          <w:spacing w:val="57"/>
          <w:kern w:val="44"/>
          <w:sz w:val="30"/>
          <w:szCs w:val="30"/>
        </w:rPr>
        <w:t>3.4机械成本</w:t>
      </w:r>
      <w:bookmarkEnd w:id="12"/>
    </w:p>
    <w:p>
      <w:pPr>
        <w:spacing w:line="480" w:lineRule="exact"/>
        <w:ind w:firstLine="560" w:firstLineChars="200"/>
        <w:rPr>
          <w:rFonts w:hint="eastAsia" w:ascii="Times New Roman" w:hAnsi="Times New Roman" w:eastAsia="宋体" w:cstheme="minorBidi"/>
        </w:rPr>
      </w:pPr>
      <w:r>
        <w:rPr>
          <w:rFonts w:hint="eastAsia" w:ascii="Times New Roman" w:hAnsi="Times New Roman" w:eastAsia="宋体" w:cstheme="minorBidi"/>
        </w:rPr>
        <w:t>3.4.1 机械成本包括机械租赁费和自有机械使用费。</w:t>
      </w:r>
    </w:p>
    <w:p>
      <w:pPr>
        <w:spacing w:line="480" w:lineRule="exact"/>
        <w:ind w:firstLine="560" w:firstLineChars="200"/>
        <w:rPr>
          <w:rFonts w:hint="eastAsia" w:ascii="Times New Roman" w:hAnsi="Times New Roman" w:eastAsia="宋体" w:cstheme="minorBidi"/>
        </w:rPr>
      </w:pPr>
      <w:r>
        <w:rPr>
          <w:rFonts w:hint="eastAsia" w:ascii="Times New Roman" w:hAnsi="Times New Roman" w:eastAsia="宋体" w:cstheme="minorBidi"/>
        </w:rPr>
        <w:t>3.4.2 机械成本中一般已含机械运输费。</w:t>
      </w:r>
    </w:p>
    <w:p>
      <w:pPr>
        <w:spacing w:line="480" w:lineRule="exact"/>
        <w:ind w:firstLine="0" w:firstLineChars="0"/>
      </w:pPr>
    </w:p>
    <w:p>
      <w:pPr>
        <w:pStyle w:val="3"/>
        <w:spacing w:line="480" w:lineRule="exact"/>
        <w:jc w:val="center"/>
        <w:rPr>
          <w:spacing w:val="57"/>
          <w:kern w:val="44"/>
          <w:sz w:val="30"/>
          <w:szCs w:val="30"/>
        </w:rPr>
      </w:pPr>
      <w:bookmarkStart w:id="13" w:name="_Toc107140228"/>
      <w:r>
        <w:rPr>
          <w:rFonts w:hint="eastAsia" w:ascii="楷体_GB2312" w:hAnsi="楷体_GB2312" w:eastAsia="楷体_GB2312" w:cs="楷体_GB2312"/>
          <w:spacing w:val="57"/>
          <w:kern w:val="44"/>
          <w:sz w:val="30"/>
          <w:szCs w:val="30"/>
        </w:rPr>
        <w:t>3.5专业工程成本</w:t>
      </w:r>
      <w:bookmarkEnd w:id="13"/>
    </w:p>
    <w:p>
      <w:pPr>
        <w:spacing w:line="480" w:lineRule="exact"/>
        <w:ind w:firstLine="560" w:firstLineChars="200"/>
      </w:pPr>
      <w:r>
        <w:rPr>
          <w:rFonts w:hint="eastAsia" w:ascii="Times New Roman" w:hAnsi="Times New Roman" w:eastAsia="宋体" w:cstheme="minorBidi"/>
        </w:rPr>
        <w:t>3.5.1专业工程成本仅限电力工程费和通信工程费。</w:t>
      </w:r>
    </w:p>
    <w:p>
      <w:pPr>
        <w:spacing w:line="480" w:lineRule="exact"/>
        <w:ind w:firstLine="0" w:firstLineChars="0"/>
        <w:jc w:val="center"/>
        <w:rPr>
          <w:b/>
          <w:spacing w:val="57"/>
          <w:kern w:val="44"/>
          <w:sz w:val="30"/>
          <w:szCs w:val="30"/>
        </w:rPr>
      </w:pPr>
    </w:p>
    <w:p>
      <w:pPr>
        <w:pStyle w:val="3"/>
        <w:spacing w:line="480" w:lineRule="exact"/>
        <w:jc w:val="center"/>
        <w:rPr>
          <w:rFonts w:hint="eastAsia" w:ascii="楷体_GB2312" w:hAnsi="楷体_GB2312" w:eastAsia="楷体_GB2312" w:cs="楷体_GB2312"/>
          <w:spacing w:val="57"/>
          <w:kern w:val="44"/>
          <w:sz w:val="30"/>
          <w:szCs w:val="30"/>
        </w:rPr>
      </w:pPr>
      <w:bookmarkStart w:id="14" w:name="_Toc107140229"/>
      <w:r>
        <w:rPr>
          <w:rFonts w:hint="eastAsia" w:ascii="楷体_GB2312" w:hAnsi="楷体_GB2312" w:eastAsia="楷体_GB2312" w:cs="楷体_GB2312"/>
          <w:spacing w:val="57"/>
          <w:kern w:val="44"/>
          <w:sz w:val="30"/>
          <w:szCs w:val="30"/>
        </w:rPr>
        <w:t>3.6防疫专项成本</w:t>
      </w:r>
      <w:bookmarkEnd w:id="14"/>
    </w:p>
    <w:p>
      <w:pPr>
        <w:spacing w:line="480" w:lineRule="exact"/>
        <w:ind w:firstLine="560" w:firstLineChars="200"/>
        <w:rPr>
          <w:rFonts w:hint="eastAsia" w:ascii="Times New Roman" w:hAnsi="Times New Roman" w:eastAsia="宋体" w:cstheme="minorBidi"/>
        </w:rPr>
      </w:pPr>
      <w:r>
        <w:rPr>
          <w:rFonts w:hint="eastAsia" w:ascii="Times New Roman" w:hAnsi="Times New Roman" w:eastAsia="宋体" w:cstheme="minorBidi"/>
        </w:rPr>
        <w:t>3.6.1 防疫专项成本包括建设期防疫物资费、核酸检测费、第三方专业防疫消毒费、人员隔离费、工人误工补贴及健康关爱金。</w:t>
      </w:r>
    </w:p>
    <w:p>
      <w:pPr>
        <w:spacing w:line="480" w:lineRule="exact"/>
        <w:ind w:firstLine="560" w:firstLineChars="200"/>
        <w:rPr>
          <w:rFonts w:hint="eastAsia" w:ascii="Times New Roman" w:hAnsi="Times New Roman" w:eastAsia="宋体" w:cstheme="minorBidi"/>
        </w:rPr>
      </w:pPr>
      <w:r>
        <w:rPr>
          <w:rFonts w:hint="eastAsia" w:ascii="Times New Roman" w:hAnsi="Times New Roman" w:eastAsia="宋体" w:cstheme="minorBidi"/>
        </w:rPr>
        <w:t>3.6.2 建设期防疫物资费是指由施工现场管理人员及工人使用的防疫物资费用，包含口罩、抗原试剂、防护用品、消毒用品等物资费用。</w:t>
      </w:r>
    </w:p>
    <w:p>
      <w:pPr>
        <w:spacing w:line="480" w:lineRule="exact"/>
        <w:ind w:firstLine="560" w:firstLineChars="200"/>
        <w:rPr>
          <w:rFonts w:hint="eastAsia" w:ascii="Times New Roman" w:hAnsi="Times New Roman" w:eastAsia="宋体" w:cstheme="minorBidi"/>
        </w:rPr>
      </w:pPr>
      <w:r>
        <w:rPr>
          <w:rFonts w:hint="eastAsia" w:ascii="Times New Roman" w:hAnsi="Times New Roman" w:eastAsia="宋体" w:cstheme="minorBidi"/>
        </w:rPr>
        <w:t>3.6.3核酸检测费是指因现场管理人员及建筑工人进行统一检测而支付给核酸检测机构的费用。不包含属地防疫部门组织的检测费用。</w:t>
      </w:r>
    </w:p>
    <w:p>
      <w:pPr>
        <w:spacing w:line="480" w:lineRule="exact"/>
        <w:ind w:firstLine="560" w:firstLineChars="200"/>
        <w:rPr>
          <w:rFonts w:hint="eastAsia" w:ascii="Times New Roman" w:hAnsi="Times New Roman" w:eastAsia="宋体" w:cstheme="minorBidi"/>
        </w:rPr>
      </w:pPr>
      <w:r>
        <w:rPr>
          <w:rFonts w:hint="eastAsia" w:ascii="Times New Roman" w:hAnsi="Times New Roman" w:eastAsia="宋体" w:cstheme="minorBidi"/>
        </w:rPr>
        <w:t>3.6.4第三方专业防疫消毒费是指聘请专业机构进行现场消毒的费用。</w:t>
      </w:r>
    </w:p>
    <w:p>
      <w:pPr>
        <w:spacing w:line="480" w:lineRule="exact"/>
        <w:ind w:firstLine="560" w:firstLineChars="200"/>
        <w:rPr>
          <w:rFonts w:hint="eastAsia" w:ascii="Times New Roman" w:hAnsi="Times New Roman" w:eastAsia="宋体" w:cstheme="minorBidi"/>
        </w:rPr>
      </w:pPr>
      <w:r>
        <w:rPr>
          <w:rFonts w:hint="eastAsia" w:ascii="Times New Roman" w:hAnsi="Times New Roman" w:eastAsia="宋体" w:cstheme="minorBidi"/>
        </w:rPr>
        <w:t>3.6.5人员隔离费是指因人员隔离而发生的费用，包含住宿费、餐饮费、日常物资、个人防疫用品以及人员转运至隔离点等费用。</w:t>
      </w:r>
    </w:p>
    <w:p>
      <w:pPr>
        <w:spacing w:line="480" w:lineRule="exact"/>
        <w:ind w:firstLine="560" w:firstLineChars="200"/>
        <w:rPr>
          <w:rFonts w:hint="eastAsia" w:ascii="Times New Roman" w:hAnsi="Times New Roman" w:eastAsia="宋体" w:cstheme="minorBidi"/>
        </w:rPr>
      </w:pPr>
      <w:r>
        <w:rPr>
          <w:rFonts w:hint="eastAsia" w:ascii="Times New Roman" w:hAnsi="Times New Roman" w:eastAsia="宋体" w:cstheme="minorBidi"/>
        </w:rPr>
        <w:t>3.6.6 工人误工补贴和健康关爱金是指建筑工人因隔离无法正常劳动而发放的补贴，以及对现场患病作业人员关爱慰问而产生的相关费用。</w:t>
      </w:r>
    </w:p>
    <w:p>
      <w:pPr>
        <w:spacing w:line="480" w:lineRule="exact"/>
        <w:ind w:firstLine="0" w:firstLineChars="0"/>
      </w:pPr>
    </w:p>
    <w:p>
      <w:pPr>
        <w:pStyle w:val="3"/>
        <w:spacing w:line="480" w:lineRule="exact"/>
        <w:jc w:val="center"/>
        <w:rPr>
          <w:rFonts w:hint="eastAsia" w:ascii="楷体_GB2312" w:hAnsi="楷体_GB2312" w:eastAsia="楷体_GB2312" w:cs="楷体_GB2312"/>
          <w:spacing w:val="57"/>
          <w:kern w:val="44"/>
          <w:sz w:val="30"/>
          <w:szCs w:val="30"/>
        </w:rPr>
      </w:pPr>
      <w:bookmarkStart w:id="15" w:name="_Toc107140230"/>
      <w:r>
        <w:rPr>
          <w:rFonts w:hint="eastAsia" w:ascii="楷体_GB2312" w:hAnsi="楷体_GB2312" w:eastAsia="楷体_GB2312" w:cs="楷体_GB2312"/>
          <w:spacing w:val="57"/>
          <w:kern w:val="44"/>
          <w:sz w:val="30"/>
          <w:szCs w:val="30"/>
        </w:rPr>
        <w:t>3.7现场管理费</w:t>
      </w:r>
      <w:bookmarkEnd w:id="15"/>
    </w:p>
    <w:p>
      <w:pPr>
        <w:spacing w:line="480" w:lineRule="exact"/>
        <w:ind w:firstLine="560" w:firstLineChars="200"/>
        <w:rPr>
          <w:rFonts w:hint="eastAsia" w:ascii="宋体" w:hAnsi="宋体" w:eastAsia="宋体" w:cs="宋体"/>
        </w:rPr>
      </w:pPr>
      <w:r>
        <w:rPr>
          <w:rFonts w:hint="eastAsia" w:ascii="Times New Roman" w:hAnsi="Times New Roman" w:eastAsia="宋体" w:cstheme="minorBidi"/>
        </w:rPr>
        <w:t>3.7.1</w:t>
      </w:r>
      <w:r>
        <w:rPr>
          <w:rFonts w:hint="eastAsia" w:ascii="仿宋_GB2312" w:hAnsi="仿宋_GB2312" w:eastAsia="仿宋_GB2312" w:cs="仿宋_GB2312"/>
        </w:rPr>
        <w:t xml:space="preserve"> </w:t>
      </w:r>
      <w:r>
        <w:rPr>
          <w:rFonts w:hint="eastAsia" w:ascii="宋体" w:hAnsi="宋体" w:eastAsia="宋体" w:cs="宋体"/>
        </w:rPr>
        <w:t>现场管理费包括以下内容：</w:t>
      </w:r>
    </w:p>
    <w:p>
      <w:pPr>
        <w:spacing w:line="480" w:lineRule="exact"/>
        <w:ind w:firstLine="1120" w:firstLineChars="400"/>
        <w:rPr>
          <w:rFonts w:hint="eastAsia" w:ascii="宋体" w:hAnsi="宋体" w:eastAsia="宋体" w:cs="宋体"/>
        </w:rPr>
      </w:pPr>
      <w:r>
        <w:rPr>
          <w:rFonts w:hint="eastAsia" w:ascii="宋体" w:hAnsi="宋体" w:eastAsia="宋体" w:cs="宋体"/>
        </w:rPr>
        <w:t>1 企业驻现场管理人员工资；</w:t>
      </w:r>
    </w:p>
    <w:p>
      <w:pPr>
        <w:spacing w:line="480" w:lineRule="exact"/>
        <w:ind w:left="1335" w:leftChars="400" w:hanging="215" w:hangingChars="77"/>
        <w:rPr>
          <w:rFonts w:hint="eastAsia" w:ascii="宋体" w:hAnsi="宋体" w:eastAsia="宋体" w:cs="宋体"/>
        </w:rPr>
      </w:pPr>
      <w:r>
        <w:rPr>
          <w:rFonts w:hint="eastAsia" w:ascii="宋体" w:hAnsi="宋体" w:eastAsia="宋体" w:cs="宋体"/>
        </w:rPr>
        <w:t>2建设期生活物资费，指在建设期发生的日常生活物资费和餐饮费；</w:t>
      </w:r>
    </w:p>
    <w:p>
      <w:pPr>
        <w:spacing w:line="480" w:lineRule="exact"/>
        <w:ind w:firstLine="1120" w:firstLineChars="400"/>
        <w:rPr>
          <w:rFonts w:hint="eastAsia" w:ascii="宋体" w:hAnsi="宋体" w:eastAsia="宋体" w:cs="宋体"/>
        </w:rPr>
      </w:pPr>
      <w:r>
        <w:rPr>
          <w:rFonts w:hint="eastAsia" w:ascii="宋体" w:hAnsi="宋体" w:eastAsia="宋体" w:cs="宋体"/>
        </w:rPr>
        <w:t>3 水费、电费；</w:t>
      </w:r>
    </w:p>
    <w:p>
      <w:pPr>
        <w:spacing w:line="480" w:lineRule="exact"/>
        <w:ind w:firstLine="1120" w:firstLineChars="400"/>
        <w:rPr>
          <w:rFonts w:hint="eastAsia" w:ascii="宋体" w:hAnsi="宋体" w:eastAsia="宋体" w:cs="宋体"/>
        </w:rPr>
      </w:pPr>
      <w:r>
        <w:rPr>
          <w:rFonts w:hint="eastAsia" w:ascii="宋体" w:hAnsi="宋体" w:eastAsia="宋体" w:cs="宋体"/>
        </w:rPr>
        <w:t>4安保、保洁费；</w:t>
      </w:r>
    </w:p>
    <w:p>
      <w:pPr>
        <w:spacing w:line="480" w:lineRule="exact"/>
        <w:ind w:firstLine="1120" w:firstLineChars="400"/>
        <w:rPr>
          <w:rFonts w:hint="eastAsia" w:ascii="宋体" w:hAnsi="宋体" w:eastAsia="宋体" w:cs="宋体"/>
        </w:rPr>
      </w:pPr>
      <w:r>
        <w:rPr>
          <w:rFonts w:hint="eastAsia" w:ascii="宋体" w:hAnsi="宋体" w:eastAsia="宋体" w:cs="宋体"/>
        </w:rPr>
        <w:t>5垃圾清运费；</w:t>
      </w:r>
    </w:p>
    <w:p>
      <w:pPr>
        <w:spacing w:line="480" w:lineRule="exact"/>
        <w:ind w:left="1400" w:leftChars="400" w:hanging="280" w:hangingChars="100"/>
        <w:rPr>
          <w:rFonts w:hint="eastAsia" w:ascii="宋体" w:hAnsi="宋体" w:eastAsia="宋体" w:cs="宋体"/>
        </w:rPr>
      </w:pPr>
      <w:r>
        <w:rPr>
          <w:rFonts w:hint="eastAsia" w:ascii="宋体" w:hAnsi="宋体" w:eastAsia="宋体" w:cs="宋体"/>
        </w:rPr>
        <w:t>6 人员调遣费是指施工现场管理人员及建筑工人由外省市来沪和离沪的火车、机票、长途客运等交通费；</w:t>
      </w:r>
    </w:p>
    <w:p>
      <w:pPr>
        <w:spacing w:line="480" w:lineRule="exact"/>
        <w:ind w:firstLine="1120" w:firstLineChars="400"/>
        <w:rPr>
          <w:rFonts w:hint="eastAsia" w:ascii="宋体" w:hAnsi="宋体" w:eastAsia="宋体" w:cs="宋体"/>
        </w:rPr>
      </w:pPr>
      <w:r>
        <w:rPr>
          <w:rFonts w:hint="eastAsia" w:ascii="宋体" w:hAnsi="宋体" w:eastAsia="宋体" w:cs="宋体"/>
        </w:rPr>
        <w:t>7其他费用。</w:t>
      </w:r>
    </w:p>
    <w:p>
      <w:pPr>
        <w:spacing w:line="480" w:lineRule="exact"/>
        <w:ind w:firstLine="560"/>
      </w:pPr>
    </w:p>
    <w:p>
      <w:pPr>
        <w:pStyle w:val="3"/>
        <w:spacing w:line="480" w:lineRule="exact"/>
        <w:jc w:val="center"/>
        <w:rPr>
          <w:spacing w:val="57"/>
          <w:kern w:val="44"/>
          <w:sz w:val="30"/>
          <w:szCs w:val="30"/>
        </w:rPr>
      </w:pPr>
      <w:bookmarkStart w:id="16" w:name="_Toc107140231"/>
      <w:r>
        <w:rPr>
          <w:rFonts w:hint="eastAsia" w:ascii="楷体_GB2312" w:hAnsi="楷体_GB2312" w:eastAsia="楷体_GB2312" w:cs="楷体_GB2312"/>
          <w:spacing w:val="57"/>
          <w:kern w:val="44"/>
          <w:sz w:val="30"/>
          <w:szCs w:val="30"/>
        </w:rPr>
        <w:t>3.8企业管理费</w:t>
      </w:r>
      <w:bookmarkEnd w:id="16"/>
    </w:p>
    <w:p>
      <w:pPr>
        <w:spacing w:line="480" w:lineRule="exact"/>
        <w:ind w:firstLine="560" w:firstLineChars="200"/>
        <w:rPr>
          <w:rFonts w:hint="eastAsia" w:ascii="宋体" w:hAnsi="宋体" w:eastAsia="宋体" w:cs="宋体"/>
        </w:rPr>
      </w:pPr>
      <w:r>
        <w:rPr>
          <w:rFonts w:hint="eastAsia" w:ascii="Times New Roman" w:hAnsi="Times New Roman" w:eastAsia="宋体" w:cstheme="minorBidi"/>
        </w:rPr>
        <w:t>3.8.1</w:t>
      </w:r>
      <w:r>
        <w:rPr>
          <w:rFonts w:hint="eastAsia" w:ascii="宋体" w:hAnsi="宋体" w:eastAsia="宋体" w:cs="宋体"/>
          <w:szCs w:val="28"/>
        </w:rPr>
        <w:t>企业管理费包括</w:t>
      </w:r>
      <w:r>
        <w:rPr>
          <w:rFonts w:hint="eastAsia" w:ascii="宋体" w:hAnsi="宋体" w:eastAsia="宋体" w:cs="宋体"/>
        </w:rPr>
        <w:t>以下内容：</w:t>
      </w:r>
    </w:p>
    <w:p>
      <w:pPr>
        <w:spacing w:line="480" w:lineRule="exact"/>
        <w:ind w:firstLine="1120" w:firstLineChars="400"/>
        <w:rPr>
          <w:rFonts w:hint="eastAsia" w:ascii="宋体" w:hAnsi="宋体" w:eastAsia="宋体" w:cs="宋体"/>
        </w:rPr>
      </w:pPr>
      <w:r>
        <w:rPr>
          <w:rFonts w:hint="eastAsia" w:ascii="宋体" w:hAnsi="宋体" w:eastAsia="宋体" w:cs="宋体"/>
        </w:rPr>
        <w:t>1 施工单位办公费；</w:t>
      </w:r>
    </w:p>
    <w:p>
      <w:pPr>
        <w:spacing w:line="480" w:lineRule="exact"/>
        <w:ind w:firstLine="1120" w:firstLineChars="400"/>
        <w:rPr>
          <w:rFonts w:hint="eastAsia" w:ascii="宋体" w:hAnsi="宋体" w:eastAsia="宋体" w:cs="宋体"/>
        </w:rPr>
      </w:pPr>
      <w:r>
        <w:rPr>
          <w:rFonts w:hint="eastAsia" w:ascii="宋体" w:hAnsi="宋体" w:eastAsia="宋体" w:cs="宋体"/>
        </w:rPr>
        <w:t>2 不计入固定资产的小型工器具使用费；</w:t>
      </w:r>
    </w:p>
    <w:p>
      <w:pPr>
        <w:spacing w:line="480" w:lineRule="exact"/>
        <w:ind w:firstLine="1120" w:firstLineChars="400"/>
        <w:rPr>
          <w:rFonts w:hint="eastAsia" w:ascii="宋体" w:hAnsi="宋体" w:eastAsia="宋体" w:cs="宋体"/>
        </w:rPr>
      </w:pPr>
      <w:r>
        <w:rPr>
          <w:rFonts w:hint="eastAsia" w:ascii="宋体" w:hAnsi="宋体" w:eastAsia="宋体" w:cs="宋体"/>
        </w:rPr>
        <w:t>3场外管理人员的职工薪酬；</w:t>
      </w:r>
    </w:p>
    <w:p>
      <w:pPr>
        <w:spacing w:line="480" w:lineRule="exact"/>
        <w:ind w:firstLine="1120" w:firstLineChars="400"/>
        <w:rPr>
          <w:rFonts w:hint="eastAsia" w:ascii="宋体" w:hAnsi="宋体" w:eastAsia="宋体" w:cs="宋体"/>
        </w:rPr>
      </w:pPr>
      <w:r>
        <w:rPr>
          <w:rFonts w:hint="eastAsia" w:ascii="宋体" w:hAnsi="宋体" w:eastAsia="宋体" w:cs="宋体"/>
        </w:rPr>
        <w:t>4由企业承担的管理人员公积金与社会保险费；</w:t>
      </w:r>
    </w:p>
    <w:p>
      <w:pPr>
        <w:spacing w:line="480" w:lineRule="exact"/>
        <w:ind w:firstLine="1120" w:firstLineChars="400"/>
        <w:rPr>
          <w:rFonts w:hint="eastAsia" w:ascii="宋体" w:hAnsi="宋体" w:eastAsia="宋体" w:cs="宋体"/>
        </w:rPr>
      </w:pPr>
      <w:r>
        <w:rPr>
          <w:rFonts w:hint="eastAsia" w:ascii="宋体" w:hAnsi="宋体" w:eastAsia="宋体" w:cs="宋体"/>
        </w:rPr>
        <w:t>5 城市维护建设税等其他附加税。</w:t>
      </w:r>
    </w:p>
    <w:p>
      <w:pPr>
        <w:spacing w:line="480" w:lineRule="exact"/>
        <w:ind w:firstLine="560"/>
      </w:pPr>
    </w:p>
    <w:p>
      <w:pPr>
        <w:pStyle w:val="3"/>
        <w:spacing w:line="480" w:lineRule="exact"/>
        <w:jc w:val="center"/>
        <w:rPr>
          <w:rFonts w:hint="eastAsia" w:ascii="楷体_GB2312" w:hAnsi="楷体_GB2312" w:eastAsia="楷体_GB2312" w:cs="楷体_GB2312"/>
          <w:spacing w:val="57"/>
          <w:kern w:val="44"/>
          <w:sz w:val="30"/>
          <w:szCs w:val="30"/>
        </w:rPr>
      </w:pPr>
      <w:bookmarkStart w:id="17" w:name="_Toc107140232"/>
      <w:r>
        <w:rPr>
          <w:rFonts w:hint="eastAsia" w:ascii="楷体_GB2312" w:hAnsi="楷体_GB2312" w:eastAsia="楷体_GB2312" w:cs="楷体_GB2312"/>
          <w:spacing w:val="57"/>
          <w:kern w:val="44"/>
          <w:sz w:val="30"/>
          <w:szCs w:val="30"/>
        </w:rPr>
        <w:t>3.9增值税</w:t>
      </w:r>
      <w:bookmarkEnd w:id="17"/>
    </w:p>
    <w:p>
      <w:pPr>
        <w:spacing w:line="480" w:lineRule="exact"/>
        <w:ind w:firstLine="560" w:firstLineChars="200"/>
      </w:pPr>
      <w:r>
        <w:rPr>
          <w:rFonts w:hint="eastAsia"/>
        </w:rPr>
        <w:t>3.9.1增值税按规定计列。</w:t>
      </w:r>
    </w:p>
    <w:p>
      <w:pPr>
        <w:pStyle w:val="3"/>
        <w:spacing w:line="480" w:lineRule="exact"/>
        <w:jc w:val="center"/>
        <w:rPr>
          <w:rFonts w:hint="eastAsia" w:ascii="楷体_GB2312" w:hAnsi="楷体_GB2312" w:eastAsia="楷体_GB2312" w:cs="楷体_GB2312"/>
          <w:spacing w:val="57"/>
          <w:kern w:val="44"/>
          <w:sz w:val="30"/>
          <w:szCs w:val="30"/>
        </w:rPr>
      </w:pPr>
      <w:bookmarkStart w:id="18" w:name="_Toc107140233"/>
      <w:r>
        <w:rPr>
          <w:rFonts w:hint="eastAsia" w:ascii="楷体_GB2312" w:hAnsi="楷体_GB2312" w:eastAsia="楷体_GB2312" w:cs="楷体_GB2312"/>
          <w:spacing w:val="57"/>
          <w:kern w:val="44"/>
          <w:sz w:val="30"/>
          <w:szCs w:val="30"/>
        </w:rPr>
        <w:t>3.10病床及配套物资费</w:t>
      </w:r>
      <w:bookmarkEnd w:id="18"/>
    </w:p>
    <w:p>
      <w:pPr>
        <w:spacing w:line="480" w:lineRule="exact"/>
        <w:ind w:firstLine="560" w:firstLineChars="200"/>
        <w:rPr>
          <w:rFonts w:hint="eastAsia" w:ascii="Times New Roman" w:hAnsi="Times New Roman" w:eastAsia="宋体" w:cstheme="minorBidi"/>
        </w:rPr>
      </w:pPr>
      <w:r>
        <w:rPr>
          <w:rFonts w:hint="eastAsia" w:ascii="Times New Roman" w:hAnsi="Times New Roman" w:eastAsia="宋体" w:cstheme="minorBidi"/>
        </w:rPr>
        <w:t>3.10.1病床及配套物资费，指为收治感染者或者隔离人员而采购的病床及其配套的床头柜、床单被褥等物资发生的购置费。</w:t>
      </w:r>
    </w:p>
    <w:p>
      <w:pPr>
        <w:spacing w:line="480" w:lineRule="exact"/>
        <w:ind w:firstLine="560" w:firstLineChars="200"/>
      </w:pPr>
    </w:p>
    <w:p>
      <w:pPr>
        <w:spacing w:line="480" w:lineRule="exact"/>
        <w:ind w:firstLine="0" w:firstLineChars="0"/>
      </w:pPr>
    </w:p>
    <w:p>
      <w:pPr>
        <w:spacing w:line="480" w:lineRule="exact"/>
        <w:ind w:firstLine="0" w:firstLineChars="0"/>
      </w:pPr>
    </w:p>
    <w:p>
      <w:pPr>
        <w:spacing w:line="480" w:lineRule="exact"/>
        <w:ind w:firstLine="0" w:firstLineChars="0"/>
      </w:pPr>
    </w:p>
    <w:p>
      <w:pPr>
        <w:widowControl/>
        <w:spacing w:line="240" w:lineRule="auto"/>
        <w:ind w:firstLine="0" w:firstLineChars="0"/>
        <w:jc w:val="left"/>
      </w:pPr>
      <w:r>
        <w:br w:type="page"/>
      </w:r>
    </w:p>
    <w:p>
      <w:pPr>
        <w:pStyle w:val="2"/>
        <w:spacing w:after="190" w:afterLines="50" w:line="480" w:lineRule="exact"/>
      </w:pPr>
      <w:bookmarkStart w:id="19" w:name="_Toc107140234"/>
      <w:r>
        <w:rPr>
          <w:rFonts w:hint="eastAsia" w:ascii="黑体" w:hAnsi="黑体" w:eastAsia="黑体" w:cs="黑体"/>
        </w:rPr>
        <w:t>4 人材机成本认定及费用标准</w:t>
      </w:r>
      <w:bookmarkEnd w:id="19"/>
    </w:p>
    <w:p>
      <w:pPr>
        <w:pStyle w:val="3"/>
        <w:spacing w:line="480" w:lineRule="exact"/>
        <w:jc w:val="center"/>
        <w:rPr>
          <w:rFonts w:hint="eastAsia" w:ascii="楷体_GB2312" w:hAnsi="楷体_GB2312" w:eastAsia="楷体_GB2312" w:cs="楷体_GB2312"/>
          <w:spacing w:val="57"/>
          <w:kern w:val="44"/>
          <w:sz w:val="30"/>
          <w:szCs w:val="30"/>
        </w:rPr>
      </w:pPr>
      <w:bookmarkStart w:id="20" w:name="_Toc107140235"/>
      <w:r>
        <w:rPr>
          <w:rFonts w:hint="eastAsia" w:ascii="楷体_GB2312" w:hAnsi="楷体_GB2312" w:eastAsia="楷体_GB2312" w:cs="楷体_GB2312"/>
          <w:spacing w:val="57"/>
          <w:kern w:val="44"/>
          <w:sz w:val="30"/>
          <w:szCs w:val="30"/>
        </w:rPr>
        <w:t>4.1一般规定</w:t>
      </w:r>
      <w:bookmarkEnd w:id="20"/>
    </w:p>
    <w:p>
      <w:pPr>
        <w:spacing w:line="480" w:lineRule="exact"/>
        <w:ind w:firstLine="560" w:firstLineChars="200"/>
      </w:pPr>
      <w:r>
        <w:rPr>
          <w:rFonts w:hint="eastAsia"/>
        </w:rPr>
        <w:t>4.1.1 施工单位提交的</w:t>
      </w:r>
      <w:r>
        <w:t>竣工结算报告和结算资料</w:t>
      </w:r>
      <w:r>
        <w:rPr>
          <w:rFonts w:hint="eastAsia"/>
        </w:rPr>
        <w:t>应实事求是、真实有效。建设单位、监理单位等应本着应急项目施工任务紧、过程难的客观情况，公平合理地对结算资料进行确认。</w:t>
      </w:r>
    </w:p>
    <w:p>
      <w:pPr>
        <w:adjustRightInd w:val="0"/>
        <w:snapToGrid w:val="0"/>
        <w:spacing w:line="480" w:lineRule="exact"/>
        <w:ind w:firstLine="560" w:firstLineChars="200"/>
      </w:pPr>
      <w:r>
        <w:rPr>
          <w:rFonts w:hint="eastAsia"/>
        </w:rPr>
        <w:t>4.1.2 施工单位费用证明资料分为基础资料、主证资料和佐证资料三类（具体内容见本章各节附表），其中基础资料必须提供，并提供至少一项主证资料予以印证。无法提供主证资料的，或主证资料不足以充分证明的，需提供但不限于本指引中所列的佐证资料予以印证。资料中出现数据不一致的，应以数值小的予以认定。</w:t>
      </w:r>
    </w:p>
    <w:p>
      <w:pPr>
        <w:adjustRightInd w:val="0"/>
        <w:snapToGrid w:val="0"/>
        <w:spacing w:line="480" w:lineRule="exact"/>
        <w:ind w:firstLine="560" w:firstLineChars="200"/>
      </w:pPr>
      <w:r>
        <w:rPr>
          <w:rFonts w:hint="eastAsia"/>
        </w:rPr>
        <w:t>4.1.3 施工单位对提供的资料凭证应签署诚信承诺书。一旦发现资料凭证有弄虚作假的，按照骗取财政资金有关规定处理，并将记入企业诚信档案。</w:t>
      </w:r>
    </w:p>
    <w:p>
      <w:pPr>
        <w:adjustRightInd w:val="0"/>
        <w:snapToGrid w:val="0"/>
        <w:spacing w:line="480" w:lineRule="exact"/>
        <w:ind w:firstLine="0" w:firstLineChars="0"/>
      </w:pPr>
    </w:p>
    <w:p>
      <w:pPr>
        <w:pStyle w:val="3"/>
        <w:spacing w:line="480" w:lineRule="exact"/>
        <w:jc w:val="center"/>
        <w:rPr>
          <w:rFonts w:hint="eastAsia" w:ascii="楷体_GB2312" w:hAnsi="楷体_GB2312" w:eastAsia="楷体_GB2312" w:cs="楷体_GB2312"/>
          <w:spacing w:val="57"/>
          <w:kern w:val="44"/>
          <w:sz w:val="30"/>
          <w:szCs w:val="30"/>
        </w:rPr>
      </w:pPr>
      <w:bookmarkStart w:id="21" w:name="_Toc107140236"/>
      <w:r>
        <w:rPr>
          <w:rFonts w:hint="eastAsia" w:ascii="楷体_GB2312" w:hAnsi="楷体_GB2312" w:eastAsia="楷体_GB2312" w:cs="楷体_GB2312"/>
          <w:spacing w:val="57"/>
          <w:kern w:val="44"/>
          <w:sz w:val="30"/>
          <w:szCs w:val="30"/>
        </w:rPr>
        <w:t>4.2人工成本</w:t>
      </w:r>
      <w:bookmarkEnd w:id="21"/>
    </w:p>
    <w:p>
      <w:pPr>
        <w:spacing w:line="480" w:lineRule="exact"/>
        <w:ind w:firstLine="560" w:firstLineChars="200"/>
        <w:rPr>
          <w:rFonts w:ascii="宋体" w:hAnsi="宋体"/>
          <w:szCs w:val="32"/>
        </w:rPr>
      </w:pPr>
      <w:r>
        <w:rPr>
          <w:rFonts w:hint="eastAsia"/>
        </w:rPr>
        <w:t xml:space="preserve">4.2.1 </w:t>
      </w:r>
      <w:r>
        <w:rPr>
          <w:rFonts w:hint="eastAsia" w:ascii="宋体" w:hAnsi="宋体" w:cs="宋体"/>
        </w:rPr>
        <w:t>人工数量的认定凭证应符合表4.2.1的规定。</w:t>
      </w:r>
    </w:p>
    <w:tbl>
      <w:tblPr>
        <w:tblStyle w:val="16"/>
        <w:tblW w:w="8959"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445"/>
        <w:gridCol w:w="4678"/>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959" w:type="dxa"/>
            <w:gridSpan w:val="4"/>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表 4.2.1 人工数量凭证认定表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96"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序号</w:t>
            </w:r>
          </w:p>
        </w:tc>
        <w:tc>
          <w:tcPr>
            <w:tcW w:w="2445"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资料名称</w:t>
            </w:r>
          </w:p>
        </w:tc>
        <w:tc>
          <w:tcPr>
            <w:tcW w:w="4678"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资料要求及认定</w:t>
            </w:r>
          </w:p>
        </w:tc>
        <w:tc>
          <w:tcPr>
            <w:tcW w:w="1140"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1</w:t>
            </w:r>
          </w:p>
        </w:tc>
        <w:tc>
          <w:tcPr>
            <w:tcW w:w="2445"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建筑工人花名册</w:t>
            </w:r>
          </w:p>
        </w:tc>
        <w:tc>
          <w:tcPr>
            <w:tcW w:w="4678" w:type="dxa"/>
            <w:vMerge w:val="restart"/>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由施工单位填报，经监理或建设单位审核确认的，考勤以建设期内一次核酸检测结果或者进出场电子记录予以认定；未经监理或建设单位审核确认的，考勤以建设期内两次核酸检测结果（作业天数按首末次检测时间加一天计算）或者进出场电子记录予以认定。</w:t>
            </w:r>
          </w:p>
        </w:tc>
        <w:tc>
          <w:tcPr>
            <w:tcW w:w="114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2</w:t>
            </w:r>
          </w:p>
        </w:tc>
        <w:tc>
          <w:tcPr>
            <w:tcW w:w="2445"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建筑工人考勤表</w:t>
            </w:r>
          </w:p>
        </w:tc>
        <w:tc>
          <w:tcPr>
            <w:tcW w:w="4678" w:type="dxa"/>
            <w:vMerge w:val="continue"/>
          </w:tcPr>
          <w:p>
            <w:pPr>
              <w:widowControl/>
              <w:spacing w:line="320" w:lineRule="exact"/>
              <w:ind w:firstLine="0" w:firstLineChars="0"/>
              <w:textAlignment w:val="center"/>
              <w:rPr>
                <w:rFonts w:ascii="宋体" w:hAnsi="宋体" w:cs="宋体"/>
                <w:kern w:val="0"/>
                <w:sz w:val="22"/>
                <w:szCs w:val="22"/>
              </w:rPr>
            </w:pPr>
          </w:p>
        </w:tc>
        <w:tc>
          <w:tcPr>
            <w:tcW w:w="114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3</w:t>
            </w:r>
          </w:p>
        </w:tc>
        <w:tc>
          <w:tcPr>
            <w:tcW w:w="2445"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核酸检测证明资料</w:t>
            </w:r>
          </w:p>
        </w:tc>
        <w:tc>
          <w:tcPr>
            <w:tcW w:w="4678" w:type="dxa"/>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列明采样时间、检测时间、采样点、被检测人员名单、检测结果等，由检测机构盖章确认。</w:t>
            </w:r>
          </w:p>
        </w:tc>
        <w:tc>
          <w:tcPr>
            <w:tcW w:w="114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主证资料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4</w:t>
            </w:r>
          </w:p>
        </w:tc>
        <w:tc>
          <w:tcPr>
            <w:tcW w:w="2445"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进出场电子记录（刷卡、扫码、身份识别等）</w:t>
            </w:r>
          </w:p>
        </w:tc>
        <w:tc>
          <w:tcPr>
            <w:tcW w:w="4678"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由施工单位、监理单位（如有）、建设单位签字盖章确认；</w:t>
            </w:r>
          </w:p>
        </w:tc>
        <w:tc>
          <w:tcPr>
            <w:tcW w:w="114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主证资料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5</w:t>
            </w:r>
          </w:p>
        </w:tc>
        <w:tc>
          <w:tcPr>
            <w:tcW w:w="2445"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现场发放签收记录（含电子转账凭证）</w:t>
            </w:r>
          </w:p>
        </w:tc>
        <w:tc>
          <w:tcPr>
            <w:tcW w:w="4678"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能证明人员数量的原始记录。</w:t>
            </w:r>
          </w:p>
        </w:tc>
        <w:tc>
          <w:tcPr>
            <w:tcW w:w="114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佐证资料</w:t>
            </w:r>
          </w:p>
        </w:tc>
      </w:tr>
    </w:tbl>
    <w:p>
      <w:pPr>
        <w:spacing w:line="480" w:lineRule="exact"/>
        <w:ind w:firstLine="560" w:firstLineChars="200"/>
        <w:rPr>
          <w:rFonts w:ascii="宋体" w:hAnsi="宋体"/>
          <w:szCs w:val="32"/>
        </w:rPr>
      </w:pPr>
      <w:r>
        <w:rPr>
          <w:rFonts w:hint="eastAsia"/>
        </w:rPr>
        <w:t>4.2.2</w:t>
      </w:r>
      <w:r>
        <w:rPr>
          <w:rFonts w:hint="eastAsia" w:ascii="宋体" w:hAnsi="宋体" w:cs="宋体"/>
        </w:rPr>
        <w:t>人工单价的认定凭证应符合表4.2.2的规定。</w:t>
      </w:r>
    </w:p>
    <w:tbl>
      <w:tblPr>
        <w:tblStyle w:val="16"/>
        <w:tblW w:w="8932"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185"/>
        <w:gridCol w:w="4908"/>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932" w:type="dxa"/>
            <w:gridSpan w:val="4"/>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表 4.2.2 人工单价凭证认定表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序号</w:t>
            </w:r>
          </w:p>
        </w:tc>
        <w:tc>
          <w:tcPr>
            <w:tcW w:w="2185"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资料名称</w:t>
            </w:r>
          </w:p>
        </w:tc>
        <w:tc>
          <w:tcPr>
            <w:tcW w:w="4908"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资料要求及认定</w:t>
            </w:r>
          </w:p>
        </w:tc>
        <w:tc>
          <w:tcPr>
            <w:tcW w:w="1130"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09"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1</w:t>
            </w:r>
          </w:p>
        </w:tc>
        <w:tc>
          <w:tcPr>
            <w:tcW w:w="2185"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劳务合同</w:t>
            </w:r>
          </w:p>
        </w:tc>
        <w:tc>
          <w:tcPr>
            <w:tcW w:w="4908"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由施工单位提供，合同要素齐备。合同人工单价异常偏高时，还需提供更充分的证明资料。</w:t>
            </w:r>
          </w:p>
        </w:tc>
        <w:tc>
          <w:tcPr>
            <w:tcW w:w="113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09"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2</w:t>
            </w:r>
          </w:p>
        </w:tc>
        <w:tc>
          <w:tcPr>
            <w:tcW w:w="2185"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劳务合同结算支付资料</w:t>
            </w:r>
          </w:p>
        </w:tc>
        <w:tc>
          <w:tcPr>
            <w:tcW w:w="4908"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资料包括但不限于：人员名单（包括姓名、身份证号码、手机号码、工种等）、考勤表、发票、支付凭证、结算单等；</w:t>
            </w:r>
          </w:p>
        </w:tc>
        <w:tc>
          <w:tcPr>
            <w:tcW w:w="113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3</w:t>
            </w:r>
          </w:p>
        </w:tc>
        <w:tc>
          <w:tcPr>
            <w:tcW w:w="2185"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现场发放签收记录（含电子转账凭证）</w:t>
            </w:r>
          </w:p>
        </w:tc>
        <w:tc>
          <w:tcPr>
            <w:tcW w:w="4908" w:type="dxa"/>
            <w:vMerge w:val="restart"/>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能证明人工单价的原始记录。</w:t>
            </w:r>
          </w:p>
        </w:tc>
        <w:tc>
          <w:tcPr>
            <w:tcW w:w="113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主证资料</w:t>
            </w:r>
          </w:p>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4</w:t>
            </w:r>
          </w:p>
        </w:tc>
        <w:tc>
          <w:tcPr>
            <w:tcW w:w="2185"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商洽记录（含微信截图）</w:t>
            </w:r>
          </w:p>
        </w:tc>
        <w:tc>
          <w:tcPr>
            <w:tcW w:w="4908" w:type="dxa"/>
            <w:vMerge w:val="continue"/>
            <w:vAlign w:val="center"/>
          </w:tcPr>
          <w:p>
            <w:pPr>
              <w:widowControl/>
              <w:spacing w:line="320" w:lineRule="exact"/>
              <w:ind w:firstLine="0" w:firstLineChars="0"/>
              <w:textAlignment w:val="center"/>
              <w:rPr>
                <w:rFonts w:ascii="宋体" w:hAnsi="宋体" w:cs="宋体"/>
                <w:kern w:val="0"/>
                <w:sz w:val="22"/>
                <w:szCs w:val="22"/>
              </w:rPr>
            </w:pPr>
          </w:p>
        </w:tc>
        <w:tc>
          <w:tcPr>
            <w:tcW w:w="113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佐证资料</w:t>
            </w:r>
          </w:p>
        </w:tc>
      </w:tr>
    </w:tbl>
    <w:p>
      <w:pPr>
        <w:spacing w:line="480" w:lineRule="exact"/>
        <w:ind w:firstLine="560" w:firstLineChars="200"/>
        <w:rPr>
          <w:rFonts w:ascii="宋体" w:hAnsi="宋体"/>
          <w:szCs w:val="32"/>
        </w:rPr>
      </w:pPr>
      <w:r>
        <w:rPr>
          <w:rFonts w:hint="eastAsia"/>
        </w:rPr>
        <w:t>4.2.3</w:t>
      </w:r>
      <w:r>
        <w:rPr>
          <w:rFonts w:hint="eastAsia" w:ascii="宋体" w:hAnsi="宋体" w:cs="宋体"/>
        </w:rPr>
        <w:t>人工成本认定凭证充分的，按实计列。证明不充分的人工费部分，定额人工数量减去凭证认定人工数量为正数的，人工数量按两者差值计算。人工工日单价以市场管理总站3月份发布各工种信息价上限的2.5倍计算。人工数量需要换算的，1人天折算为2个工日。定额人工数量</w:t>
      </w:r>
      <w:r>
        <w:rPr>
          <w:rFonts w:hint="eastAsia" w:ascii="宋体" w:hAnsi="宋体" w:cs="宋体"/>
          <w:szCs w:val="32"/>
        </w:rPr>
        <w:t>按照本市现行各专业工程预算定额（2016）或参照相似的定额子目计取。</w:t>
      </w:r>
    </w:p>
    <w:p>
      <w:pPr>
        <w:spacing w:line="480" w:lineRule="exact"/>
        <w:ind w:firstLine="0" w:firstLineChars="0"/>
        <w:rPr>
          <w:rFonts w:ascii="宋体" w:hAnsi="宋体"/>
          <w:szCs w:val="32"/>
        </w:rPr>
      </w:pPr>
    </w:p>
    <w:p>
      <w:pPr>
        <w:pStyle w:val="3"/>
        <w:spacing w:line="480" w:lineRule="exact"/>
        <w:jc w:val="center"/>
        <w:rPr>
          <w:rFonts w:hint="eastAsia" w:ascii="楷体_GB2312" w:hAnsi="楷体_GB2312" w:eastAsia="楷体_GB2312" w:cs="楷体_GB2312"/>
          <w:spacing w:val="57"/>
          <w:kern w:val="44"/>
          <w:sz w:val="30"/>
          <w:szCs w:val="30"/>
        </w:rPr>
      </w:pPr>
      <w:bookmarkStart w:id="22" w:name="_Toc107140237"/>
      <w:r>
        <w:rPr>
          <w:rFonts w:hint="eastAsia" w:ascii="楷体_GB2312" w:hAnsi="楷体_GB2312" w:eastAsia="楷体_GB2312" w:cs="楷体_GB2312"/>
          <w:spacing w:val="57"/>
          <w:kern w:val="44"/>
          <w:sz w:val="30"/>
          <w:szCs w:val="30"/>
        </w:rPr>
        <w:t>4.3 材料成本</w:t>
      </w:r>
      <w:bookmarkEnd w:id="22"/>
    </w:p>
    <w:p>
      <w:pPr>
        <w:spacing w:line="480" w:lineRule="exact"/>
        <w:ind w:firstLine="560" w:firstLineChars="200"/>
        <w:rPr>
          <w:rFonts w:ascii="宋体" w:hAnsi="宋体"/>
          <w:szCs w:val="32"/>
        </w:rPr>
      </w:pPr>
      <w:r>
        <w:rPr>
          <w:rFonts w:hint="eastAsia"/>
        </w:rPr>
        <w:t>4.3.1 材料数量的认定凭证应符合表4.3.1的规定。</w:t>
      </w:r>
    </w:p>
    <w:tbl>
      <w:tblPr>
        <w:tblStyle w:val="16"/>
        <w:tblW w:w="8959"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970"/>
        <w:gridCol w:w="5136"/>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959" w:type="dxa"/>
            <w:gridSpan w:val="4"/>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表 4.3.1 材料数量凭证认定表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96"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序号</w:t>
            </w:r>
          </w:p>
        </w:tc>
        <w:tc>
          <w:tcPr>
            <w:tcW w:w="1970"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资料名称</w:t>
            </w:r>
          </w:p>
        </w:tc>
        <w:tc>
          <w:tcPr>
            <w:tcW w:w="5136"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资料要求及认定</w:t>
            </w:r>
          </w:p>
        </w:tc>
        <w:tc>
          <w:tcPr>
            <w:tcW w:w="1157"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1</w:t>
            </w:r>
          </w:p>
        </w:tc>
        <w:tc>
          <w:tcPr>
            <w:tcW w:w="197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材料进场报验单</w:t>
            </w:r>
          </w:p>
        </w:tc>
        <w:tc>
          <w:tcPr>
            <w:tcW w:w="5136" w:type="dxa"/>
            <w:vMerge w:val="restart"/>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由施工单位填报，经监理单位（如有）审核、建设单位确认签字盖章。</w:t>
            </w:r>
          </w:p>
        </w:tc>
        <w:tc>
          <w:tcPr>
            <w:tcW w:w="1157"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2</w:t>
            </w:r>
          </w:p>
        </w:tc>
        <w:tc>
          <w:tcPr>
            <w:tcW w:w="197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材料进场记录</w:t>
            </w:r>
          </w:p>
        </w:tc>
        <w:tc>
          <w:tcPr>
            <w:tcW w:w="5136" w:type="dxa"/>
            <w:vMerge w:val="continue"/>
            <w:vAlign w:val="center"/>
          </w:tcPr>
          <w:p>
            <w:pPr>
              <w:widowControl/>
              <w:spacing w:line="320" w:lineRule="exact"/>
              <w:ind w:firstLine="0" w:firstLineChars="0"/>
              <w:textAlignment w:val="center"/>
              <w:rPr>
                <w:rFonts w:ascii="宋体" w:hAnsi="宋体" w:cs="宋体"/>
                <w:kern w:val="0"/>
                <w:sz w:val="22"/>
                <w:szCs w:val="22"/>
              </w:rPr>
            </w:pPr>
          </w:p>
        </w:tc>
        <w:tc>
          <w:tcPr>
            <w:tcW w:w="1157"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3</w:t>
            </w:r>
          </w:p>
        </w:tc>
        <w:tc>
          <w:tcPr>
            <w:tcW w:w="197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现场签证</w:t>
            </w:r>
          </w:p>
        </w:tc>
        <w:tc>
          <w:tcPr>
            <w:tcW w:w="5136" w:type="dxa"/>
            <w:vMerge w:val="continue"/>
            <w:vAlign w:val="center"/>
          </w:tcPr>
          <w:p>
            <w:pPr>
              <w:widowControl/>
              <w:spacing w:line="320" w:lineRule="exact"/>
              <w:ind w:firstLine="0" w:firstLineChars="0"/>
              <w:textAlignment w:val="center"/>
              <w:rPr>
                <w:rFonts w:ascii="宋体" w:hAnsi="宋体" w:cs="宋体"/>
                <w:kern w:val="0"/>
                <w:sz w:val="22"/>
                <w:szCs w:val="22"/>
              </w:rPr>
            </w:pPr>
          </w:p>
        </w:tc>
        <w:tc>
          <w:tcPr>
            <w:tcW w:w="1157"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主证资料</w:t>
            </w:r>
            <w:r>
              <w:rPr>
                <w:rFonts w:hint="eastAsia" w:ascii="宋体" w:hAnsi="宋体" w:cs="宋体"/>
                <w:kern w:val="0"/>
                <w:sz w:val="22"/>
                <w:szCs w:val="22"/>
              </w:rPr>
              <w:br w:type="textWrapping"/>
            </w:r>
            <w:r>
              <w:rPr>
                <w:rFonts w:hint="eastAsia" w:ascii="宋体" w:hAnsi="宋体" w:cs="宋体"/>
                <w:kern w:val="0"/>
                <w:sz w:val="22"/>
                <w:szCs w:val="22"/>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4</w:t>
            </w:r>
          </w:p>
        </w:tc>
        <w:tc>
          <w:tcPr>
            <w:tcW w:w="197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设计变更单</w:t>
            </w:r>
          </w:p>
        </w:tc>
        <w:tc>
          <w:tcPr>
            <w:tcW w:w="5136"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建设单位、设计单位确认签字盖章。</w:t>
            </w:r>
          </w:p>
        </w:tc>
        <w:tc>
          <w:tcPr>
            <w:tcW w:w="1157"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主证资料（如有）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5</w:t>
            </w:r>
          </w:p>
        </w:tc>
        <w:tc>
          <w:tcPr>
            <w:tcW w:w="197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商洽记录（含微信截图）</w:t>
            </w:r>
          </w:p>
        </w:tc>
        <w:tc>
          <w:tcPr>
            <w:tcW w:w="5136"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能证明材料数量的原始记录。</w:t>
            </w:r>
          </w:p>
        </w:tc>
        <w:tc>
          <w:tcPr>
            <w:tcW w:w="1157"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佐证资料</w:t>
            </w:r>
          </w:p>
        </w:tc>
      </w:tr>
    </w:tbl>
    <w:p>
      <w:pPr>
        <w:spacing w:line="480" w:lineRule="exact"/>
        <w:ind w:firstLine="560" w:firstLineChars="200"/>
        <w:rPr>
          <w:rFonts w:ascii="宋体" w:hAnsi="宋体"/>
          <w:szCs w:val="32"/>
        </w:rPr>
      </w:pPr>
      <w:r>
        <w:rPr>
          <w:rFonts w:hint="eastAsia"/>
        </w:rPr>
        <w:t xml:space="preserve">4.3.2 </w:t>
      </w:r>
      <w:r>
        <w:rPr>
          <w:rFonts w:hint="eastAsia" w:ascii="宋体" w:hAnsi="宋体" w:cs="宋体"/>
        </w:rPr>
        <w:t>材料价格的认定凭证应符合表4.3.2的规定。</w:t>
      </w:r>
    </w:p>
    <w:tbl>
      <w:tblPr>
        <w:tblStyle w:val="16"/>
        <w:tblW w:w="8959"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790"/>
        <w:gridCol w:w="5352"/>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959" w:type="dxa"/>
            <w:gridSpan w:val="4"/>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表 4.3.2材料价格凭证认定表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96"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序号</w:t>
            </w:r>
          </w:p>
        </w:tc>
        <w:tc>
          <w:tcPr>
            <w:tcW w:w="1790"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资料名称</w:t>
            </w:r>
          </w:p>
        </w:tc>
        <w:tc>
          <w:tcPr>
            <w:tcW w:w="5352"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资料要求及认定</w:t>
            </w:r>
          </w:p>
        </w:tc>
        <w:tc>
          <w:tcPr>
            <w:tcW w:w="1121"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1</w:t>
            </w:r>
          </w:p>
        </w:tc>
        <w:tc>
          <w:tcPr>
            <w:tcW w:w="179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材料采购合同</w:t>
            </w:r>
          </w:p>
        </w:tc>
        <w:tc>
          <w:tcPr>
            <w:tcW w:w="5352"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由施工单位提供，合同要素齐备。材料单价异常偏高时，还需提供更充分的证明资料。</w:t>
            </w:r>
          </w:p>
        </w:tc>
        <w:tc>
          <w:tcPr>
            <w:tcW w:w="1121"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2</w:t>
            </w:r>
          </w:p>
        </w:tc>
        <w:tc>
          <w:tcPr>
            <w:tcW w:w="179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材料采购合同结算支付资料</w:t>
            </w:r>
          </w:p>
        </w:tc>
        <w:tc>
          <w:tcPr>
            <w:tcW w:w="5352"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资料包括但不限于：材料清单、发票、支付凭证、结算单等。</w:t>
            </w:r>
          </w:p>
        </w:tc>
        <w:tc>
          <w:tcPr>
            <w:tcW w:w="1121"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3</w:t>
            </w:r>
          </w:p>
        </w:tc>
        <w:tc>
          <w:tcPr>
            <w:tcW w:w="179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施工现场会议纪要或现场签证</w:t>
            </w:r>
          </w:p>
        </w:tc>
        <w:tc>
          <w:tcPr>
            <w:tcW w:w="5352"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由建设单位签字认可，能证明材料单价的相关资料。</w:t>
            </w:r>
          </w:p>
        </w:tc>
        <w:tc>
          <w:tcPr>
            <w:tcW w:w="1121"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主证资料</w:t>
            </w:r>
          </w:p>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4</w:t>
            </w:r>
          </w:p>
        </w:tc>
        <w:tc>
          <w:tcPr>
            <w:tcW w:w="179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商洽记录（含微信截图）</w:t>
            </w:r>
          </w:p>
        </w:tc>
        <w:tc>
          <w:tcPr>
            <w:tcW w:w="5352"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能证明材料价格的原始记录。</w:t>
            </w:r>
          </w:p>
        </w:tc>
        <w:tc>
          <w:tcPr>
            <w:tcW w:w="1121"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佐证资料</w:t>
            </w:r>
          </w:p>
        </w:tc>
      </w:tr>
    </w:tbl>
    <w:p>
      <w:pPr>
        <w:spacing w:line="480" w:lineRule="exact"/>
        <w:ind w:firstLine="560" w:firstLineChars="200"/>
        <w:rPr>
          <w:rFonts w:hint="eastAsia" w:ascii="宋体" w:hAnsi="宋体" w:eastAsia="宋体" w:cs="宋体"/>
        </w:rPr>
      </w:pPr>
      <w:r>
        <w:rPr>
          <w:rFonts w:hint="eastAsia" w:ascii="Times New Roman" w:hAnsi="Times New Roman" w:eastAsia="宋体" w:cstheme="minorBidi"/>
        </w:rPr>
        <w:t>4.3.3</w:t>
      </w:r>
      <w:r>
        <w:rPr>
          <w:rFonts w:hint="eastAsia" w:ascii="宋体" w:hAnsi="宋体" w:eastAsia="宋体" w:cs="宋体"/>
        </w:rPr>
        <w:t>材料成本按下列要求进行结算：</w:t>
      </w:r>
    </w:p>
    <w:p>
      <w:pPr>
        <w:spacing w:line="480" w:lineRule="exact"/>
        <w:ind w:firstLine="1120" w:firstLineChars="400"/>
        <w:rPr>
          <w:rFonts w:hint="eastAsia" w:ascii="宋体" w:hAnsi="宋体" w:eastAsia="宋体" w:cs="宋体"/>
        </w:rPr>
      </w:pPr>
      <w:r>
        <w:rPr>
          <w:rFonts w:hint="eastAsia" w:ascii="宋体" w:hAnsi="宋体" w:eastAsia="宋体" w:cs="宋体"/>
        </w:rPr>
        <w:t>1竣工图标明的材料按主要材料计价，其他未标明的材料按辅助材料计价。</w:t>
      </w:r>
    </w:p>
    <w:p>
      <w:pPr>
        <w:spacing w:line="480" w:lineRule="exact"/>
        <w:ind w:firstLine="1120" w:firstLineChars="400"/>
        <w:rPr>
          <w:rFonts w:hint="eastAsia" w:ascii="宋体" w:hAnsi="宋体" w:eastAsia="宋体" w:cs="宋体"/>
        </w:rPr>
      </w:pPr>
      <w:r>
        <w:rPr>
          <w:rFonts w:hint="eastAsia" w:ascii="宋体" w:hAnsi="宋体" w:eastAsia="宋体" w:cs="宋体"/>
        </w:rPr>
        <w:t>2 所有主要材料数量和价格能充分认定的，按实计列。不能充分认定的，2022年3月28日之前（不含28日）实施的项目，土建工程主要材料数量按竣工图纸量乘以1.06系数计算，安装工程主要材料数量按竣工图纸量乘以1.12系数计算；2022年3月28日之后实施的项目，土建工程主要材料数量按竣工图纸量乘以1.1系数计算，安装工程主要材料数量按竣工图纸量乘以1.2系数计算；开竣工日期跨3月28日前后的，按天数加权确定主材消耗量系数。安装工程主要材料包含管件类的弯头、三通、阀门等。上述数量已包含材料的损耗与超购、弃置部分。</w:t>
      </w:r>
    </w:p>
    <w:p>
      <w:pPr>
        <w:spacing w:line="480" w:lineRule="exact"/>
        <w:ind w:firstLine="1072" w:firstLineChars="400"/>
        <w:rPr>
          <w:rFonts w:hint="eastAsia" w:ascii="宋体" w:hAnsi="宋体" w:eastAsia="宋体" w:cs="宋体"/>
          <w:spacing w:val="-6"/>
          <w:sz w:val="28"/>
        </w:rPr>
      </w:pPr>
      <w:r>
        <w:rPr>
          <w:rFonts w:hint="eastAsia" w:ascii="宋体" w:hAnsi="宋体" w:eastAsia="宋体" w:cs="宋体"/>
          <w:spacing w:val="-6"/>
          <w:sz w:val="28"/>
        </w:rPr>
        <w:t>3所有辅助材料数量和价格凭证能充分认定的，按实计列。不能充分认定的，按主要材料费的1.8%比例计入材料成本。</w:t>
      </w:r>
    </w:p>
    <w:p>
      <w:pPr>
        <w:spacing w:line="480" w:lineRule="exact"/>
        <w:ind w:firstLine="1072" w:firstLineChars="400"/>
        <w:rPr>
          <w:rFonts w:hint="eastAsia" w:ascii="宋体" w:hAnsi="宋体" w:eastAsia="宋体" w:cs="宋体"/>
        </w:rPr>
      </w:pPr>
      <w:r>
        <w:rPr>
          <w:rFonts w:hint="eastAsia" w:ascii="宋体" w:hAnsi="宋体" w:eastAsia="宋体" w:cs="宋体"/>
          <w:spacing w:val="-6"/>
          <w:sz w:val="28"/>
        </w:rPr>
        <w:t>4因重大设计变更或非施工单位原因造成返工在竣工图纸上无法反映的主要材料，可根据设计变更单、现场签证单或现场影像资料按实</w:t>
      </w:r>
      <w:r>
        <w:rPr>
          <w:rFonts w:hint="eastAsia" w:ascii="宋体" w:hAnsi="宋体" w:eastAsia="宋体" w:cs="宋体"/>
        </w:rPr>
        <w:t>结算。</w:t>
      </w:r>
    </w:p>
    <w:p>
      <w:pPr>
        <w:spacing w:line="480" w:lineRule="exact"/>
        <w:ind w:firstLine="1120" w:firstLineChars="400"/>
        <w:rPr>
          <w:rFonts w:hint="eastAsia" w:ascii="宋体" w:hAnsi="宋体" w:eastAsia="宋体" w:cs="宋体"/>
        </w:rPr>
      </w:pPr>
      <w:r>
        <w:rPr>
          <w:rFonts w:hint="eastAsia" w:ascii="宋体" w:hAnsi="宋体" w:eastAsia="宋体" w:cs="宋体"/>
        </w:rPr>
        <w:t>5由建设单位购买的主要材料，建设单位应提供签字、盖章的清单明细、采购合同、支付凭证等，按实计入主要材料费并作为辅助材料的计价基数。</w:t>
      </w:r>
    </w:p>
    <w:p>
      <w:pPr>
        <w:adjustRightInd w:val="0"/>
        <w:snapToGrid w:val="0"/>
        <w:spacing w:line="480" w:lineRule="exact"/>
        <w:ind w:firstLine="560" w:firstLineChars="200"/>
        <w:rPr>
          <w:rFonts w:hint="eastAsia" w:ascii="宋体" w:hAnsi="宋体" w:eastAsia="宋体" w:cs="宋体"/>
        </w:rPr>
      </w:pPr>
      <w:r>
        <w:rPr>
          <w:rFonts w:hint="eastAsia" w:ascii="Times New Roman" w:hAnsi="Times New Roman" w:eastAsia="宋体" w:cstheme="minorBidi"/>
        </w:rPr>
        <w:t>4.3.4</w:t>
      </w:r>
      <w:r>
        <w:rPr>
          <w:rFonts w:hint="eastAsia" w:ascii="宋体" w:hAnsi="宋体" w:eastAsia="宋体" w:cs="宋体"/>
        </w:rPr>
        <w:t>第三方材料运输费按运输合同的运费计入材料成本。材料运输合同结算支付资料包括但不限于：经施工单位确认的运输清单、发票、支付凭证、结算单等。</w:t>
      </w:r>
    </w:p>
    <w:p>
      <w:pPr>
        <w:pStyle w:val="3"/>
        <w:spacing w:line="480" w:lineRule="exact"/>
        <w:jc w:val="center"/>
        <w:rPr>
          <w:spacing w:val="57"/>
          <w:kern w:val="44"/>
          <w:sz w:val="30"/>
          <w:szCs w:val="30"/>
        </w:rPr>
      </w:pPr>
      <w:bookmarkStart w:id="23" w:name="_Toc107140238"/>
      <w:r>
        <w:rPr>
          <w:rFonts w:hint="eastAsia" w:ascii="楷体_GB2312" w:hAnsi="楷体_GB2312" w:eastAsia="楷体_GB2312" w:cs="楷体_GB2312"/>
          <w:spacing w:val="57"/>
          <w:kern w:val="44"/>
          <w:sz w:val="30"/>
          <w:szCs w:val="30"/>
        </w:rPr>
        <w:t>4.4机械成本</w:t>
      </w:r>
      <w:bookmarkEnd w:id="23"/>
    </w:p>
    <w:p>
      <w:pPr>
        <w:adjustRightInd w:val="0"/>
        <w:snapToGrid w:val="0"/>
        <w:spacing w:line="480" w:lineRule="exact"/>
        <w:ind w:firstLine="560" w:firstLineChars="200"/>
        <w:rPr>
          <w:rFonts w:hint="eastAsia" w:ascii="宋体" w:hAnsi="宋体" w:eastAsia="宋体" w:cs="宋体"/>
        </w:rPr>
      </w:pPr>
      <w:r>
        <w:rPr>
          <w:rFonts w:hint="eastAsia" w:ascii="Times New Roman" w:hAnsi="Times New Roman" w:eastAsia="宋体" w:cstheme="minorBidi"/>
        </w:rPr>
        <w:t>4.4.1</w:t>
      </w:r>
      <w:r>
        <w:rPr>
          <w:rFonts w:hint="eastAsia" w:ascii="宋体" w:hAnsi="宋体" w:eastAsia="宋体" w:cs="宋体"/>
        </w:rPr>
        <w:t>机械数量认定凭证应符合表4.4.1的规定。</w:t>
      </w:r>
    </w:p>
    <w:tbl>
      <w:tblPr>
        <w:tblStyle w:val="16"/>
        <w:tblW w:w="8959"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970"/>
        <w:gridCol w:w="5124"/>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959" w:type="dxa"/>
            <w:gridSpan w:val="4"/>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表 4.4.1 机械数量凭证认定表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96"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序号</w:t>
            </w:r>
          </w:p>
        </w:tc>
        <w:tc>
          <w:tcPr>
            <w:tcW w:w="1970"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资料名称</w:t>
            </w:r>
          </w:p>
        </w:tc>
        <w:tc>
          <w:tcPr>
            <w:tcW w:w="5124"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资料要求</w:t>
            </w:r>
          </w:p>
        </w:tc>
        <w:tc>
          <w:tcPr>
            <w:tcW w:w="1169"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1</w:t>
            </w:r>
          </w:p>
        </w:tc>
        <w:tc>
          <w:tcPr>
            <w:tcW w:w="197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机械使用数量统计表</w:t>
            </w:r>
          </w:p>
        </w:tc>
        <w:tc>
          <w:tcPr>
            <w:tcW w:w="5124"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由施工单位填报，经监理单位（如有）审核、建设单位确认。</w:t>
            </w:r>
          </w:p>
        </w:tc>
        <w:tc>
          <w:tcPr>
            <w:tcW w:w="1169" w:type="dxa"/>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2</w:t>
            </w:r>
          </w:p>
        </w:tc>
        <w:tc>
          <w:tcPr>
            <w:tcW w:w="197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机械进场验收单</w:t>
            </w:r>
          </w:p>
        </w:tc>
        <w:tc>
          <w:tcPr>
            <w:tcW w:w="5124"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由机械出租方填报，施工单位签字确认。</w:t>
            </w:r>
          </w:p>
        </w:tc>
        <w:tc>
          <w:tcPr>
            <w:tcW w:w="1169"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3</w:t>
            </w:r>
          </w:p>
        </w:tc>
        <w:tc>
          <w:tcPr>
            <w:tcW w:w="197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机械进出场记录</w:t>
            </w:r>
          </w:p>
        </w:tc>
        <w:tc>
          <w:tcPr>
            <w:tcW w:w="5124"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由施工单位填报，经监理单位（如有）审核、建设单位确认。</w:t>
            </w:r>
          </w:p>
        </w:tc>
        <w:tc>
          <w:tcPr>
            <w:tcW w:w="1169" w:type="dxa"/>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主证资料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4</w:t>
            </w:r>
          </w:p>
        </w:tc>
        <w:tc>
          <w:tcPr>
            <w:tcW w:w="197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影像资料</w:t>
            </w:r>
          </w:p>
        </w:tc>
        <w:tc>
          <w:tcPr>
            <w:tcW w:w="5124"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建设期内，能反映机械数量的照片及视频。</w:t>
            </w:r>
          </w:p>
        </w:tc>
        <w:tc>
          <w:tcPr>
            <w:tcW w:w="1169" w:type="dxa"/>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佐证资料</w:t>
            </w:r>
          </w:p>
        </w:tc>
      </w:tr>
    </w:tbl>
    <w:p>
      <w:pPr>
        <w:adjustRightInd w:val="0"/>
        <w:snapToGrid w:val="0"/>
        <w:spacing w:line="480" w:lineRule="exact"/>
        <w:ind w:firstLine="560" w:firstLineChars="200"/>
        <w:rPr>
          <w:rFonts w:hint="eastAsia" w:ascii="宋体" w:hAnsi="宋体" w:eastAsia="宋体" w:cs="宋体"/>
        </w:rPr>
      </w:pPr>
      <w:r>
        <w:rPr>
          <w:rFonts w:hint="default" w:ascii="Times New Roman" w:hAnsi="Times New Roman" w:eastAsia="仿宋_GB2312" w:cs="Times New Roman"/>
          <w:b w:val="0"/>
          <w:bCs w:val="0"/>
        </w:rPr>
        <w:t>4.4.2</w:t>
      </w:r>
      <w:r>
        <w:rPr>
          <w:rFonts w:hint="eastAsia" w:ascii="宋体" w:hAnsi="宋体" w:eastAsia="宋体" w:cs="宋体"/>
        </w:rPr>
        <w:t>机械租赁价格认定凭证应符合表4.4.2的规定。</w:t>
      </w:r>
    </w:p>
    <w:tbl>
      <w:tblPr>
        <w:tblStyle w:val="16"/>
        <w:tblW w:w="8959"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970"/>
        <w:gridCol w:w="5112"/>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959" w:type="dxa"/>
            <w:gridSpan w:val="4"/>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表 4.4.2 机械租赁价格凭证认定表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96"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序号</w:t>
            </w:r>
          </w:p>
        </w:tc>
        <w:tc>
          <w:tcPr>
            <w:tcW w:w="1970"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资料名称</w:t>
            </w:r>
          </w:p>
        </w:tc>
        <w:tc>
          <w:tcPr>
            <w:tcW w:w="5112"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资料要求</w:t>
            </w:r>
          </w:p>
        </w:tc>
        <w:tc>
          <w:tcPr>
            <w:tcW w:w="1181"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1</w:t>
            </w:r>
          </w:p>
        </w:tc>
        <w:tc>
          <w:tcPr>
            <w:tcW w:w="197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机械租赁合同</w:t>
            </w:r>
          </w:p>
        </w:tc>
        <w:tc>
          <w:tcPr>
            <w:tcW w:w="5112"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由施工单位提供，合同要素齐备。租赁价格异常偏高时，还需提供更充分的证明资料。</w:t>
            </w:r>
          </w:p>
        </w:tc>
        <w:tc>
          <w:tcPr>
            <w:tcW w:w="1181"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2</w:t>
            </w:r>
          </w:p>
        </w:tc>
        <w:tc>
          <w:tcPr>
            <w:tcW w:w="197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机械租赁合同结算支付资料</w:t>
            </w:r>
          </w:p>
        </w:tc>
        <w:tc>
          <w:tcPr>
            <w:tcW w:w="5112"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资料包括但不限于：机械使用清单、发票、支付凭证、结算单等。</w:t>
            </w:r>
          </w:p>
        </w:tc>
        <w:tc>
          <w:tcPr>
            <w:tcW w:w="1181"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3</w:t>
            </w:r>
          </w:p>
        </w:tc>
        <w:tc>
          <w:tcPr>
            <w:tcW w:w="197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商洽记录（含微信截图）</w:t>
            </w:r>
          </w:p>
        </w:tc>
        <w:tc>
          <w:tcPr>
            <w:tcW w:w="5112"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能证明机械租赁价格的原始记录。</w:t>
            </w:r>
          </w:p>
        </w:tc>
        <w:tc>
          <w:tcPr>
            <w:tcW w:w="1181"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主证资料</w:t>
            </w:r>
          </w:p>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（如有）</w:t>
            </w:r>
          </w:p>
        </w:tc>
      </w:tr>
    </w:tbl>
    <w:p>
      <w:pPr>
        <w:adjustRightInd w:val="0"/>
        <w:snapToGrid w:val="0"/>
        <w:spacing w:line="480" w:lineRule="exact"/>
        <w:ind w:firstLine="560" w:firstLineChars="200"/>
        <w:rPr>
          <w:rFonts w:hint="eastAsia" w:ascii="仿宋_GB2312" w:hAnsi="仿宋_GB2312" w:eastAsia="仿宋_GB2312" w:cs="仿宋_GB2312"/>
        </w:rPr>
      </w:pPr>
      <w:r>
        <w:rPr>
          <w:rFonts w:hint="eastAsia" w:ascii="Times New Roman" w:hAnsi="Times New Roman" w:eastAsia="宋体" w:cstheme="minorBidi"/>
        </w:rPr>
        <w:t>4.4.3</w:t>
      </w:r>
      <w:r>
        <w:rPr>
          <w:rFonts w:hint="eastAsia" w:ascii="宋体" w:hAnsi="宋体" w:eastAsia="宋体" w:cs="宋体"/>
        </w:rPr>
        <w:t>施工单位自有机械费用参照市市场管理总站发布的3月机械租赁信息价进行结算。</w:t>
      </w:r>
    </w:p>
    <w:p>
      <w:pPr>
        <w:spacing w:line="480" w:lineRule="exact"/>
        <w:ind w:firstLine="560" w:firstLineChars="200"/>
        <w:rPr>
          <w:rFonts w:hint="eastAsia" w:ascii="仿宋_GB2312" w:hAnsi="仿宋_GB2312" w:eastAsia="仿宋_GB2312" w:cs="仿宋_GB2312"/>
        </w:rPr>
      </w:pPr>
      <w:r>
        <w:rPr>
          <w:rFonts w:hint="eastAsia" w:ascii="Times New Roman" w:hAnsi="Times New Roman" w:eastAsia="宋体" w:cstheme="minorBidi"/>
        </w:rPr>
        <w:t>4.4.4</w:t>
      </w:r>
      <w:r>
        <w:rPr>
          <w:rFonts w:hint="eastAsia" w:ascii="仿宋_GB2312" w:hAnsi="仿宋_GB2312" w:eastAsia="仿宋_GB2312" w:cs="仿宋_GB2312"/>
        </w:rPr>
        <w:t xml:space="preserve"> </w:t>
      </w:r>
      <w:r>
        <w:rPr>
          <w:rFonts w:hint="eastAsia" w:ascii="宋体" w:hAnsi="宋体" w:eastAsia="宋体" w:cs="宋体"/>
        </w:rPr>
        <w:t>机械成本中不含水费及电费。机械租赁价格包括机上人工费的，不得在人工费中重复开列或计取。</w:t>
      </w:r>
    </w:p>
    <w:p>
      <w:pPr>
        <w:widowControl/>
        <w:spacing w:line="480" w:lineRule="exact"/>
        <w:ind w:firstLine="0" w:firstLineChars="0"/>
        <w:jc w:val="left"/>
      </w:pPr>
      <w:r>
        <w:br w:type="page"/>
      </w:r>
    </w:p>
    <w:p>
      <w:pPr>
        <w:pStyle w:val="2"/>
        <w:adjustRightInd w:val="0"/>
        <w:snapToGrid w:val="0"/>
        <w:spacing w:after="190" w:afterLines="50" w:line="480" w:lineRule="exact"/>
        <w:rPr>
          <w:rFonts w:hint="eastAsia" w:ascii="黑体" w:hAnsi="黑体" w:eastAsia="黑体" w:cs="黑体"/>
        </w:rPr>
      </w:pPr>
      <w:bookmarkStart w:id="24" w:name="_Toc107140239"/>
      <w:r>
        <w:rPr>
          <w:rFonts w:hint="eastAsia" w:ascii="黑体" w:hAnsi="黑体" w:eastAsia="黑体" w:cs="黑体"/>
        </w:rPr>
        <w:t>5专业工程成本</w:t>
      </w:r>
      <w:bookmarkEnd w:id="24"/>
    </w:p>
    <w:p>
      <w:pPr>
        <w:adjustRightInd w:val="0"/>
        <w:snapToGrid w:val="0"/>
        <w:spacing w:line="480" w:lineRule="exact"/>
        <w:ind w:firstLine="560" w:firstLineChars="200"/>
        <w:rPr>
          <w:rFonts w:hint="eastAsia" w:ascii="仿宋_GB2312" w:hAnsi="仿宋_GB2312" w:eastAsia="仿宋_GB2312" w:cs="仿宋_GB2312"/>
        </w:rPr>
      </w:pPr>
      <w:r>
        <w:rPr>
          <w:rFonts w:hint="eastAsia" w:ascii="Times New Roman" w:hAnsi="Times New Roman" w:eastAsia="宋体" w:cstheme="minorBidi"/>
          <w:b w:val="0"/>
          <w:spacing w:val="0"/>
          <w:kern w:val="2"/>
          <w:sz w:val="28"/>
          <w:szCs w:val="24"/>
        </w:rPr>
        <w:t>5</w:t>
      </w:r>
      <w:r>
        <w:rPr>
          <w:rFonts w:hint="eastAsia"/>
        </w:rPr>
        <w:t>.</w:t>
      </w:r>
      <w:r>
        <w:rPr>
          <w:rFonts w:hint="eastAsia" w:ascii="Times New Roman" w:hAnsi="Times New Roman" w:eastAsia="宋体" w:cstheme="minorBidi"/>
          <w:b w:val="0"/>
          <w:spacing w:val="0"/>
          <w:kern w:val="2"/>
          <w:sz w:val="28"/>
          <w:szCs w:val="24"/>
        </w:rPr>
        <w:t>1</w:t>
      </w:r>
      <w:r>
        <w:rPr>
          <w:rFonts w:hint="eastAsia" w:ascii="宋体" w:hAnsi="宋体" w:eastAsia="宋体" w:cs="宋体"/>
        </w:rPr>
        <w:t>电力工程和通信工程费用认定凭证应符合表5.1的规定。</w:t>
      </w:r>
    </w:p>
    <w:tbl>
      <w:tblPr>
        <w:tblStyle w:val="16"/>
        <w:tblW w:w="8959"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445"/>
        <w:gridCol w:w="4577"/>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959" w:type="dxa"/>
            <w:gridSpan w:val="4"/>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2"/>
                <w:szCs w:val="22"/>
              </w:rPr>
              <w:t>表5.1专业工程费用认定表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96"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序号</w:t>
            </w:r>
          </w:p>
        </w:tc>
        <w:tc>
          <w:tcPr>
            <w:tcW w:w="2445"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资料名称</w:t>
            </w:r>
          </w:p>
        </w:tc>
        <w:tc>
          <w:tcPr>
            <w:tcW w:w="4577"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资料要求</w:t>
            </w:r>
          </w:p>
        </w:tc>
        <w:tc>
          <w:tcPr>
            <w:tcW w:w="1241"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1</w:t>
            </w:r>
          </w:p>
        </w:tc>
        <w:tc>
          <w:tcPr>
            <w:tcW w:w="2445"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工程合同</w:t>
            </w:r>
          </w:p>
        </w:tc>
        <w:tc>
          <w:tcPr>
            <w:tcW w:w="4577"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由施工单位提供，合同要素齐备。</w:t>
            </w:r>
          </w:p>
        </w:tc>
        <w:tc>
          <w:tcPr>
            <w:tcW w:w="1241"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2</w:t>
            </w:r>
          </w:p>
        </w:tc>
        <w:tc>
          <w:tcPr>
            <w:tcW w:w="2445"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支付凭证（转账记录）</w:t>
            </w:r>
          </w:p>
        </w:tc>
        <w:tc>
          <w:tcPr>
            <w:tcW w:w="4577" w:type="dxa"/>
            <w:vMerge w:val="restart"/>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能证明费用的原始记录。</w:t>
            </w:r>
          </w:p>
        </w:tc>
        <w:tc>
          <w:tcPr>
            <w:tcW w:w="1241"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3</w:t>
            </w:r>
          </w:p>
        </w:tc>
        <w:tc>
          <w:tcPr>
            <w:tcW w:w="2445"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发票</w:t>
            </w:r>
          </w:p>
        </w:tc>
        <w:tc>
          <w:tcPr>
            <w:tcW w:w="4577" w:type="dxa"/>
            <w:vMerge w:val="continue"/>
            <w:vAlign w:val="center"/>
          </w:tcPr>
          <w:p>
            <w:pPr>
              <w:widowControl/>
              <w:spacing w:line="320" w:lineRule="exact"/>
              <w:ind w:firstLine="0" w:firstLineChars="0"/>
              <w:textAlignment w:val="center"/>
              <w:rPr>
                <w:rFonts w:ascii="宋体" w:hAnsi="宋体" w:cs="宋体"/>
                <w:kern w:val="0"/>
                <w:sz w:val="22"/>
                <w:szCs w:val="22"/>
              </w:rPr>
            </w:pPr>
          </w:p>
        </w:tc>
        <w:tc>
          <w:tcPr>
            <w:tcW w:w="1241"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4</w:t>
            </w:r>
          </w:p>
        </w:tc>
        <w:tc>
          <w:tcPr>
            <w:tcW w:w="2445"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专业单位结算材料</w:t>
            </w:r>
          </w:p>
        </w:tc>
        <w:tc>
          <w:tcPr>
            <w:tcW w:w="4577"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内容包括：图纸、结算书（表）、计算书等。</w:t>
            </w:r>
          </w:p>
        </w:tc>
        <w:tc>
          <w:tcPr>
            <w:tcW w:w="1241"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主证资料</w:t>
            </w:r>
          </w:p>
        </w:tc>
      </w:tr>
    </w:tbl>
    <w:p>
      <w:pPr>
        <w:spacing w:line="480" w:lineRule="exact"/>
        <w:ind w:firstLine="560" w:firstLineChars="200"/>
        <w:rPr>
          <w:rFonts w:hint="eastAsia" w:ascii="宋体" w:hAnsi="宋体" w:cs="宋体"/>
        </w:rPr>
      </w:pPr>
      <w:r>
        <w:rPr>
          <w:rFonts w:hint="eastAsia" w:ascii="Times New Roman" w:hAnsi="Times New Roman" w:eastAsia="宋体" w:cstheme="minorBidi"/>
          <w:b w:val="0"/>
          <w:spacing w:val="0"/>
          <w:kern w:val="2"/>
          <w:sz w:val="28"/>
          <w:szCs w:val="24"/>
        </w:rPr>
        <w:t>5</w:t>
      </w:r>
      <w:r>
        <w:rPr>
          <w:rFonts w:hint="eastAsia"/>
        </w:rPr>
        <w:t>.</w:t>
      </w:r>
      <w:r>
        <w:rPr>
          <w:rFonts w:hint="eastAsia" w:ascii="Times New Roman" w:hAnsi="Times New Roman" w:eastAsia="宋体" w:cstheme="minorBidi"/>
          <w:b w:val="0"/>
          <w:spacing w:val="0"/>
          <w:kern w:val="2"/>
          <w:sz w:val="28"/>
          <w:szCs w:val="24"/>
        </w:rPr>
        <w:t>2</w:t>
      </w:r>
      <w:r>
        <w:rPr>
          <w:rFonts w:hint="eastAsia" w:cstheme="minorBidi"/>
          <w:b w:val="0"/>
          <w:spacing w:val="0"/>
          <w:kern w:val="2"/>
          <w:sz w:val="28"/>
          <w:szCs w:val="24"/>
          <w:lang w:val="en-US" w:eastAsia="zh-CN"/>
        </w:rPr>
        <w:t xml:space="preserve"> </w:t>
      </w:r>
      <w:r>
        <w:rPr>
          <w:rFonts w:hint="eastAsia" w:ascii="宋体" w:hAnsi="宋体" w:eastAsia="宋体" w:cs="宋体"/>
        </w:rPr>
        <w:t>电力工程和通信工程费用可根据合同、支付凭证等计取。</w:t>
      </w:r>
    </w:p>
    <w:p>
      <w:pPr>
        <w:widowControl/>
        <w:spacing w:line="240" w:lineRule="auto"/>
        <w:ind w:firstLine="0" w:firstLineChars="0"/>
        <w:jc w:val="left"/>
      </w:pPr>
      <w:r>
        <w:br w:type="page"/>
      </w:r>
    </w:p>
    <w:p>
      <w:pPr>
        <w:pStyle w:val="2"/>
        <w:adjustRightInd w:val="0"/>
        <w:snapToGrid w:val="0"/>
        <w:spacing w:after="190" w:afterLines="50" w:line="480" w:lineRule="exact"/>
        <w:rPr>
          <w:b w:val="0"/>
          <w:sz w:val="30"/>
          <w:szCs w:val="30"/>
        </w:rPr>
      </w:pPr>
      <w:bookmarkStart w:id="25" w:name="_Toc107140240"/>
      <w:r>
        <w:rPr>
          <w:rFonts w:hint="eastAsia" w:ascii="黑体" w:hAnsi="黑体" w:eastAsia="黑体" w:cs="黑体"/>
        </w:rPr>
        <w:t>6 防疫专项成本认定及费用标准</w:t>
      </w:r>
      <w:bookmarkEnd w:id="25"/>
    </w:p>
    <w:p>
      <w:pPr>
        <w:adjustRightInd w:val="0"/>
        <w:snapToGrid w:val="0"/>
        <w:spacing w:line="480" w:lineRule="exact"/>
        <w:ind w:firstLine="560" w:firstLineChars="200"/>
      </w:pPr>
      <w:r>
        <w:rPr>
          <w:rFonts w:hint="eastAsia"/>
        </w:rPr>
        <w:t>6.1 建设期防疫物资费，以建筑工人人天数与现场管理人员人天数之和乘以80元/人天的标准计列。</w:t>
      </w:r>
    </w:p>
    <w:p>
      <w:pPr>
        <w:adjustRightInd w:val="0"/>
        <w:snapToGrid w:val="0"/>
        <w:spacing w:line="480" w:lineRule="exact"/>
        <w:ind w:firstLine="560" w:firstLineChars="200"/>
      </w:pPr>
      <w:r>
        <w:rPr>
          <w:rFonts w:hint="eastAsia"/>
        </w:rPr>
        <w:t>6.2核酸检测费按照检测合同、支付凭证等计取，认定凭证应符合表6.2的规定。</w:t>
      </w:r>
    </w:p>
    <w:tbl>
      <w:tblPr>
        <w:tblStyle w:val="16"/>
        <w:tblW w:w="8959"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650"/>
        <w:gridCol w:w="3372"/>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959" w:type="dxa"/>
            <w:gridSpan w:val="4"/>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2"/>
                <w:szCs w:val="22"/>
              </w:rPr>
              <w:t>表6.2核酸检测费用认定表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96"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序号</w:t>
            </w:r>
          </w:p>
        </w:tc>
        <w:tc>
          <w:tcPr>
            <w:tcW w:w="3650"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资料名称</w:t>
            </w:r>
          </w:p>
        </w:tc>
        <w:tc>
          <w:tcPr>
            <w:tcW w:w="3372"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资料要求</w:t>
            </w:r>
          </w:p>
        </w:tc>
        <w:tc>
          <w:tcPr>
            <w:tcW w:w="1241"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1</w:t>
            </w:r>
          </w:p>
        </w:tc>
        <w:tc>
          <w:tcPr>
            <w:tcW w:w="365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核酸检测合同</w:t>
            </w:r>
          </w:p>
        </w:tc>
        <w:tc>
          <w:tcPr>
            <w:tcW w:w="3372"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由施工单位提供，合同要素齐备。</w:t>
            </w:r>
          </w:p>
        </w:tc>
        <w:tc>
          <w:tcPr>
            <w:tcW w:w="1241"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2</w:t>
            </w:r>
          </w:p>
        </w:tc>
        <w:tc>
          <w:tcPr>
            <w:tcW w:w="365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支付凭证（转账记录）</w:t>
            </w:r>
          </w:p>
        </w:tc>
        <w:tc>
          <w:tcPr>
            <w:tcW w:w="3372" w:type="dxa"/>
            <w:vMerge w:val="restart"/>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能证明检测费用的原始记录。</w:t>
            </w:r>
          </w:p>
        </w:tc>
        <w:tc>
          <w:tcPr>
            <w:tcW w:w="1241"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3</w:t>
            </w:r>
          </w:p>
        </w:tc>
        <w:tc>
          <w:tcPr>
            <w:tcW w:w="365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发票</w:t>
            </w:r>
          </w:p>
        </w:tc>
        <w:tc>
          <w:tcPr>
            <w:tcW w:w="3372" w:type="dxa"/>
            <w:vMerge w:val="continue"/>
            <w:vAlign w:val="center"/>
          </w:tcPr>
          <w:p>
            <w:pPr>
              <w:widowControl/>
              <w:spacing w:line="320" w:lineRule="exact"/>
              <w:ind w:firstLine="0" w:firstLineChars="0"/>
              <w:textAlignment w:val="center"/>
              <w:rPr>
                <w:rFonts w:ascii="宋体" w:hAnsi="宋体" w:cs="宋体"/>
                <w:kern w:val="0"/>
                <w:sz w:val="22"/>
                <w:szCs w:val="22"/>
              </w:rPr>
            </w:pPr>
          </w:p>
        </w:tc>
        <w:tc>
          <w:tcPr>
            <w:tcW w:w="1241"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4</w:t>
            </w:r>
          </w:p>
        </w:tc>
        <w:tc>
          <w:tcPr>
            <w:tcW w:w="365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检测机构出具的被检测人员清单</w:t>
            </w:r>
          </w:p>
        </w:tc>
        <w:tc>
          <w:tcPr>
            <w:tcW w:w="3372"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内容包括：检测地点、检测时间、被检测人员姓名、身份证号、检测结果等。</w:t>
            </w:r>
          </w:p>
        </w:tc>
        <w:tc>
          <w:tcPr>
            <w:tcW w:w="1241"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主证资料</w:t>
            </w:r>
          </w:p>
        </w:tc>
      </w:tr>
    </w:tbl>
    <w:p>
      <w:pPr>
        <w:adjustRightInd w:val="0"/>
        <w:snapToGrid w:val="0"/>
        <w:spacing w:line="480" w:lineRule="exact"/>
        <w:ind w:firstLine="560" w:firstLineChars="200"/>
        <w:rPr>
          <w:b/>
          <w:spacing w:val="57"/>
          <w:kern w:val="44"/>
          <w:sz w:val="30"/>
          <w:szCs w:val="30"/>
        </w:rPr>
      </w:pPr>
      <w:r>
        <w:rPr>
          <w:rFonts w:hint="eastAsia"/>
        </w:rPr>
        <w:t>6.3第三方专业防疫消毒费按照合同、支付凭证、消毒记录等计取，认定凭证应符合表6.3的规定。</w:t>
      </w:r>
    </w:p>
    <w:tbl>
      <w:tblPr>
        <w:tblStyle w:val="16"/>
        <w:tblW w:w="8959"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650"/>
        <w:gridCol w:w="3492"/>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959" w:type="dxa"/>
            <w:gridSpan w:val="4"/>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2"/>
                <w:szCs w:val="22"/>
              </w:rPr>
              <w:t>表6.3第三方专业防疫消毒费用认定表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96"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序号</w:t>
            </w:r>
          </w:p>
        </w:tc>
        <w:tc>
          <w:tcPr>
            <w:tcW w:w="3650"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资料名称</w:t>
            </w:r>
          </w:p>
        </w:tc>
        <w:tc>
          <w:tcPr>
            <w:tcW w:w="3492"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资料要求</w:t>
            </w:r>
          </w:p>
        </w:tc>
        <w:tc>
          <w:tcPr>
            <w:tcW w:w="1121"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1</w:t>
            </w:r>
          </w:p>
        </w:tc>
        <w:tc>
          <w:tcPr>
            <w:tcW w:w="365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合同</w:t>
            </w:r>
          </w:p>
        </w:tc>
        <w:tc>
          <w:tcPr>
            <w:tcW w:w="3492"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由施工单位提供，合同要素齐备。</w:t>
            </w:r>
          </w:p>
        </w:tc>
        <w:tc>
          <w:tcPr>
            <w:tcW w:w="1121"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2</w:t>
            </w:r>
          </w:p>
        </w:tc>
        <w:tc>
          <w:tcPr>
            <w:tcW w:w="365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发票</w:t>
            </w:r>
          </w:p>
        </w:tc>
        <w:tc>
          <w:tcPr>
            <w:tcW w:w="3492" w:type="dxa"/>
            <w:vMerge w:val="restart"/>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能证明防疫消毒费用的原始记录。</w:t>
            </w:r>
          </w:p>
        </w:tc>
        <w:tc>
          <w:tcPr>
            <w:tcW w:w="1121"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3</w:t>
            </w:r>
          </w:p>
        </w:tc>
        <w:tc>
          <w:tcPr>
            <w:tcW w:w="365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支付凭证（转账记录）</w:t>
            </w:r>
          </w:p>
        </w:tc>
        <w:tc>
          <w:tcPr>
            <w:tcW w:w="3492" w:type="dxa"/>
            <w:vMerge w:val="continue"/>
            <w:vAlign w:val="center"/>
          </w:tcPr>
          <w:p>
            <w:pPr>
              <w:widowControl/>
              <w:spacing w:line="320" w:lineRule="exact"/>
              <w:ind w:firstLine="0" w:firstLineChars="0"/>
              <w:textAlignment w:val="center"/>
              <w:rPr>
                <w:rFonts w:ascii="宋体" w:hAnsi="宋体" w:cs="宋体"/>
                <w:kern w:val="0"/>
                <w:sz w:val="22"/>
                <w:szCs w:val="22"/>
              </w:rPr>
            </w:pPr>
          </w:p>
        </w:tc>
        <w:tc>
          <w:tcPr>
            <w:tcW w:w="1121"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96" w:type="dxa"/>
            <w:vAlign w:val="center"/>
          </w:tcPr>
          <w:p>
            <w:pPr>
              <w:widowControl/>
              <w:spacing w:line="320" w:lineRule="exact"/>
              <w:ind w:firstLine="0" w:firstLineChars="0"/>
              <w:jc w:val="center"/>
              <w:textAlignment w:val="center"/>
              <w:rPr>
                <w:rFonts w:ascii="宋体" w:hAnsi="宋体" w:cs="宋体"/>
                <w:kern w:val="0"/>
                <w:sz w:val="22"/>
                <w:szCs w:val="22"/>
              </w:rPr>
            </w:pPr>
            <w:r>
              <w:rPr>
                <w:rFonts w:hint="eastAsia" w:ascii="宋体" w:hAnsi="宋体" w:cs="宋体"/>
                <w:kern w:val="0"/>
                <w:sz w:val="22"/>
                <w:szCs w:val="22"/>
              </w:rPr>
              <w:t>4</w:t>
            </w:r>
          </w:p>
        </w:tc>
        <w:tc>
          <w:tcPr>
            <w:tcW w:w="3650"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消毒记录日志</w:t>
            </w:r>
          </w:p>
        </w:tc>
        <w:tc>
          <w:tcPr>
            <w:tcW w:w="3492"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内容包括：消毒时间、消毒人员数量等。</w:t>
            </w:r>
          </w:p>
        </w:tc>
        <w:tc>
          <w:tcPr>
            <w:tcW w:w="1121" w:type="dxa"/>
            <w:vAlign w:val="center"/>
          </w:tcPr>
          <w:p>
            <w:pPr>
              <w:widowControl/>
              <w:spacing w:line="320" w:lineRule="exact"/>
              <w:ind w:firstLine="0" w:firstLineChars="0"/>
              <w:textAlignment w:val="center"/>
              <w:rPr>
                <w:rFonts w:ascii="宋体" w:hAnsi="宋体" w:cs="宋体"/>
                <w:kern w:val="0"/>
                <w:sz w:val="22"/>
                <w:szCs w:val="22"/>
              </w:rPr>
            </w:pPr>
            <w:r>
              <w:rPr>
                <w:rFonts w:hint="eastAsia" w:ascii="宋体" w:hAnsi="宋体" w:cs="宋体"/>
                <w:kern w:val="0"/>
                <w:sz w:val="22"/>
                <w:szCs w:val="22"/>
              </w:rPr>
              <w:t>主证资料</w:t>
            </w:r>
          </w:p>
        </w:tc>
      </w:tr>
    </w:tbl>
    <w:p>
      <w:pPr>
        <w:spacing w:line="480" w:lineRule="exact"/>
        <w:ind w:firstLine="560" w:firstLineChars="200"/>
        <w:jc w:val="left"/>
        <w:rPr>
          <w:rFonts w:hint="eastAsia" w:ascii="宋体" w:hAnsi="宋体" w:cs="宋体"/>
        </w:rPr>
      </w:pPr>
      <w:r>
        <w:rPr>
          <w:rFonts w:hint="eastAsia"/>
        </w:rPr>
        <w:t>6.4</w:t>
      </w:r>
      <w:r>
        <w:rPr>
          <w:rFonts w:hint="eastAsia" w:ascii="宋体" w:hAnsi="宋体" w:cs="宋体"/>
        </w:rPr>
        <w:t>人员隔离费以建筑工人数与现场管理人员人数之和，按每人480元/天的标准计列。隔离天数根据本市疫情防控的要求按14天计算。建筑工人数以人工成本所确定的人天数除以工人平均作业天数计算，现场管理人员人数根据7.1条规定认定。</w:t>
      </w:r>
    </w:p>
    <w:p>
      <w:pPr>
        <w:spacing w:line="480" w:lineRule="exact"/>
        <w:ind w:firstLine="560" w:firstLineChars="200"/>
        <w:jc w:val="left"/>
      </w:pPr>
      <w:bookmarkStart w:id="26" w:name="_Toc8391"/>
      <w:bookmarkStart w:id="27" w:name="_Toc516"/>
      <w:bookmarkStart w:id="28" w:name="_Toc31081"/>
      <w:r>
        <w:rPr>
          <w:rFonts w:hint="eastAsia"/>
        </w:rPr>
        <w:t>6.5</w:t>
      </w:r>
      <w:r>
        <w:rPr>
          <w:rFonts w:hint="eastAsia" w:ascii="宋体" w:hAnsi="宋体" w:cs="宋体"/>
        </w:rPr>
        <w:t>建筑工人误工补贴及健康关爱金以项目人工成本、材料成本、机械成本之和为基数乘以12%计算。</w:t>
      </w:r>
      <w:bookmarkEnd w:id="26"/>
      <w:bookmarkEnd w:id="27"/>
      <w:bookmarkEnd w:id="28"/>
    </w:p>
    <w:p>
      <w:pPr>
        <w:widowControl/>
        <w:spacing w:line="240" w:lineRule="auto"/>
        <w:ind w:firstLine="0" w:firstLineChars="0"/>
        <w:jc w:val="left"/>
      </w:pPr>
      <w:r>
        <w:br w:type="page"/>
      </w:r>
    </w:p>
    <w:p>
      <w:pPr>
        <w:spacing w:line="480" w:lineRule="exact"/>
        <w:ind w:firstLine="0" w:firstLineChars="0"/>
        <w:jc w:val="left"/>
      </w:pPr>
    </w:p>
    <w:p>
      <w:pPr>
        <w:pStyle w:val="2"/>
        <w:adjustRightInd w:val="0"/>
        <w:snapToGrid w:val="0"/>
        <w:spacing w:after="190" w:afterLines="50" w:line="480" w:lineRule="exact"/>
      </w:pPr>
      <w:bookmarkStart w:id="29" w:name="_Toc107140241"/>
      <w:r>
        <w:rPr>
          <w:rFonts w:hint="eastAsia" w:ascii="黑体" w:hAnsi="黑体" w:eastAsia="黑体" w:cs="黑体"/>
        </w:rPr>
        <w:t>7 现场管理费认定及费用标准</w:t>
      </w:r>
      <w:bookmarkEnd w:id="29"/>
    </w:p>
    <w:p>
      <w:pPr>
        <w:spacing w:line="480" w:lineRule="exact"/>
        <w:ind w:firstLine="560" w:firstLineChars="200"/>
        <w:rPr>
          <w:rFonts w:hint="eastAsia" w:ascii="宋体" w:hAnsi="宋体" w:cs="宋体"/>
        </w:rPr>
      </w:pPr>
      <w:r>
        <w:rPr>
          <w:rFonts w:hint="eastAsia"/>
        </w:rPr>
        <w:t>7.1</w:t>
      </w:r>
      <w:r>
        <w:rPr>
          <w:rFonts w:hint="eastAsia" w:ascii="宋体" w:hAnsi="宋体" w:cs="宋体"/>
        </w:rPr>
        <w:t>现场管理人员数量及工作天数按照4.2.1人工数量认定标准计算；日工资以个人社会保险缴费基数除以月平均计薪天数21.75天计算，加班费按相关法律法规进行计算。现场管理人员工资按照工作天数乘以日工资计算。</w:t>
      </w:r>
    </w:p>
    <w:p>
      <w:pPr>
        <w:spacing w:line="480" w:lineRule="exact"/>
        <w:ind w:firstLine="560" w:firstLineChars="200"/>
      </w:pPr>
      <w:r>
        <w:rPr>
          <w:rFonts w:hint="eastAsia"/>
        </w:rPr>
        <w:t>7.2现场管理人员社会保险缴费基数以提供的缴费记录认定。</w:t>
      </w:r>
    </w:p>
    <w:p>
      <w:pPr>
        <w:adjustRightInd w:val="0"/>
        <w:snapToGrid w:val="0"/>
        <w:spacing w:line="480" w:lineRule="exact"/>
        <w:ind w:firstLine="560" w:firstLineChars="200"/>
      </w:pPr>
      <w:r>
        <w:rPr>
          <w:rFonts w:hint="eastAsia"/>
        </w:rPr>
        <w:t>7.3建设期生活物资费以建筑工人人天数与现场管理人员人天数之和乘以270元/人天的标准计列。</w:t>
      </w:r>
    </w:p>
    <w:p>
      <w:pPr>
        <w:adjustRightInd w:val="0"/>
        <w:snapToGrid w:val="0"/>
        <w:spacing w:line="480" w:lineRule="exact"/>
        <w:ind w:firstLine="560" w:firstLineChars="200"/>
      </w:pPr>
      <w:r>
        <w:rPr>
          <w:rFonts w:hint="eastAsia"/>
        </w:rPr>
        <w:t>7.4水费、电费根据建设期水电费缴费凭证进行结算。</w:t>
      </w:r>
    </w:p>
    <w:p>
      <w:pPr>
        <w:adjustRightInd w:val="0"/>
        <w:snapToGrid w:val="0"/>
        <w:spacing w:line="480" w:lineRule="exact"/>
        <w:ind w:firstLine="560" w:firstLineChars="200"/>
      </w:pPr>
      <w:r>
        <w:rPr>
          <w:rFonts w:hint="eastAsia"/>
        </w:rPr>
        <w:t>7.</w:t>
      </w:r>
      <w:r>
        <w:rPr>
          <w:rFonts w:hint="eastAsia"/>
          <w:lang w:val="en-US" w:eastAsia="zh-CN"/>
        </w:rPr>
        <w:t>5</w:t>
      </w:r>
      <w:r>
        <w:rPr>
          <w:rFonts w:hint="eastAsia"/>
        </w:rPr>
        <w:t>垃圾清运费按按第三方合同、结算支付资料、影像资料等进行结算。</w:t>
      </w:r>
    </w:p>
    <w:p>
      <w:pPr>
        <w:adjustRightInd w:val="0"/>
        <w:snapToGrid w:val="0"/>
        <w:spacing w:line="480" w:lineRule="exact"/>
        <w:ind w:firstLine="560" w:firstLineChars="200"/>
      </w:pPr>
      <w:r>
        <w:rPr>
          <w:rFonts w:hint="eastAsia"/>
        </w:rPr>
        <w:t>7.</w:t>
      </w:r>
      <w:r>
        <w:rPr>
          <w:rFonts w:hint="eastAsia"/>
          <w:lang w:val="en-US" w:eastAsia="zh-CN"/>
        </w:rPr>
        <w:t>6</w:t>
      </w:r>
      <w:r>
        <w:rPr>
          <w:rFonts w:hint="eastAsia"/>
        </w:rPr>
        <w:t>人员调遣费应符合表7.</w:t>
      </w:r>
      <w:r>
        <w:rPr>
          <w:rFonts w:hint="eastAsia"/>
          <w:lang w:val="en-US" w:eastAsia="zh-CN"/>
        </w:rPr>
        <w:t>6</w:t>
      </w:r>
      <w:r>
        <w:rPr>
          <w:rFonts w:hint="eastAsia"/>
        </w:rPr>
        <w:t>的规定。</w:t>
      </w:r>
    </w:p>
    <w:tbl>
      <w:tblPr>
        <w:tblStyle w:val="16"/>
        <w:tblW w:w="8959"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587"/>
        <w:gridCol w:w="4495"/>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959" w:type="dxa"/>
            <w:gridSpan w:val="4"/>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2"/>
                <w:szCs w:val="22"/>
              </w:rPr>
              <w:t>表7.</w:t>
            </w:r>
            <w:r>
              <w:rPr>
                <w:rFonts w:hint="eastAsia" w:ascii="宋体" w:hAnsi="宋体" w:cs="宋体"/>
                <w:b/>
                <w:bCs/>
                <w:kern w:val="0"/>
                <w:sz w:val="22"/>
                <w:szCs w:val="22"/>
                <w:lang w:val="en-US" w:eastAsia="zh-CN"/>
              </w:rPr>
              <w:t>6</w:t>
            </w:r>
            <w:r>
              <w:rPr>
                <w:rFonts w:hint="eastAsia" w:ascii="宋体" w:hAnsi="宋体" w:cs="宋体"/>
                <w:b/>
                <w:bCs/>
                <w:kern w:val="0"/>
                <w:sz w:val="22"/>
                <w:szCs w:val="22"/>
              </w:rPr>
              <w:t>人员调遣费用认定表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96"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序号</w:t>
            </w:r>
          </w:p>
        </w:tc>
        <w:tc>
          <w:tcPr>
            <w:tcW w:w="2587"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资料名称</w:t>
            </w:r>
          </w:p>
        </w:tc>
        <w:tc>
          <w:tcPr>
            <w:tcW w:w="4495"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资料要求</w:t>
            </w:r>
          </w:p>
        </w:tc>
        <w:tc>
          <w:tcPr>
            <w:tcW w:w="1181" w:type="dxa"/>
            <w:vAlign w:val="center"/>
          </w:tcPr>
          <w:p>
            <w:pPr>
              <w:widowControl/>
              <w:spacing w:line="320" w:lineRule="exact"/>
              <w:ind w:firstLine="0" w:firstLineChars="0"/>
              <w:jc w:val="center"/>
              <w:textAlignment w:val="center"/>
              <w:rPr>
                <w:rFonts w:ascii="宋体" w:hAnsi="宋体" w:cs="宋体"/>
                <w:b/>
                <w:bCs/>
                <w:kern w:val="0"/>
                <w:sz w:val="21"/>
                <w:szCs w:val="21"/>
              </w:rPr>
            </w:pPr>
            <w:r>
              <w:rPr>
                <w:rFonts w:hint="eastAsia" w:ascii="宋体" w:hAnsi="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6" w:type="dxa"/>
            <w:vAlign w:val="center"/>
          </w:tcPr>
          <w:p>
            <w:pPr>
              <w:adjustRightInd w:val="0"/>
              <w:snapToGrid w:val="0"/>
              <w:spacing w:line="320" w:lineRule="exact"/>
              <w:ind w:firstLine="0" w:firstLineChars="0"/>
              <w:jc w:val="center"/>
              <w:rPr>
                <w:rFonts w:ascii="宋体" w:hAnsi="宋体" w:cs="宋体"/>
                <w:kern w:val="0"/>
                <w:sz w:val="22"/>
                <w:szCs w:val="22"/>
              </w:rPr>
            </w:pPr>
            <w:r>
              <w:rPr>
                <w:rFonts w:hint="eastAsia" w:ascii="宋体" w:hAnsi="宋体" w:cs="宋体"/>
                <w:kern w:val="0"/>
                <w:sz w:val="22"/>
                <w:szCs w:val="22"/>
              </w:rPr>
              <w:t>1</w:t>
            </w:r>
          </w:p>
        </w:tc>
        <w:tc>
          <w:tcPr>
            <w:tcW w:w="2587" w:type="dxa"/>
            <w:vAlign w:val="center"/>
          </w:tcPr>
          <w:p>
            <w:pPr>
              <w:adjustRightInd w:val="0"/>
              <w:snapToGrid w:val="0"/>
              <w:spacing w:line="320" w:lineRule="exact"/>
              <w:ind w:firstLine="0" w:firstLineChars="0"/>
              <w:rPr>
                <w:rFonts w:ascii="宋体" w:hAnsi="宋体" w:cs="宋体"/>
                <w:kern w:val="0"/>
                <w:sz w:val="22"/>
                <w:szCs w:val="22"/>
              </w:rPr>
            </w:pPr>
            <w:r>
              <w:rPr>
                <w:rFonts w:hint="eastAsia" w:ascii="宋体" w:hAnsi="宋体" w:cs="宋体"/>
                <w:kern w:val="0"/>
                <w:sz w:val="22"/>
                <w:szCs w:val="22"/>
              </w:rPr>
              <w:t>发票</w:t>
            </w:r>
          </w:p>
        </w:tc>
        <w:tc>
          <w:tcPr>
            <w:tcW w:w="4495" w:type="dxa"/>
            <w:vAlign w:val="center"/>
          </w:tcPr>
          <w:p>
            <w:pPr>
              <w:adjustRightInd w:val="0"/>
              <w:snapToGrid w:val="0"/>
              <w:spacing w:line="320" w:lineRule="exact"/>
              <w:ind w:firstLine="0" w:firstLineChars="0"/>
              <w:rPr>
                <w:rFonts w:ascii="宋体" w:hAnsi="宋体" w:cs="宋体"/>
                <w:kern w:val="0"/>
                <w:sz w:val="22"/>
                <w:szCs w:val="22"/>
              </w:rPr>
            </w:pPr>
            <w:r>
              <w:rPr>
                <w:rFonts w:hint="eastAsia" w:ascii="宋体" w:hAnsi="宋体" w:cs="宋体"/>
                <w:kern w:val="0"/>
                <w:sz w:val="22"/>
                <w:szCs w:val="22"/>
              </w:rPr>
              <w:t>由施工单位提供，要素齐备。</w:t>
            </w:r>
          </w:p>
        </w:tc>
        <w:tc>
          <w:tcPr>
            <w:tcW w:w="1181" w:type="dxa"/>
            <w:vAlign w:val="center"/>
          </w:tcPr>
          <w:p>
            <w:pPr>
              <w:adjustRightInd w:val="0"/>
              <w:snapToGrid w:val="0"/>
              <w:spacing w:line="320" w:lineRule="exact"/>
              <w:ind w:firstLine="0" w:firstLineChars="0"/>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96" w:type="dxa"/>
            <w:vAlign w:val="center"/>
          </w:tcPr>
          <w:p>
            <w:pPr>
              <w:adjustRightInd w:val="0"/>
              <w:snapToGrid w:val="0"/>
              <w:spacing w:line="320" w:lineRule="exact"/>
              <w:ind w:firstLine="0" w:firstLineChars="0"/>
              <w:jc w:val="center"/>
              <w:rPr>
                <w:rFonts w:ascii="宋体" w:hAnsi="宋体" w:cs="宋体"/>
                <w:kern w:val="0"/>
                <w:sz w:val="22"/>
                <w:szCs w:val="22"/>
              </w:rPr>
            </w:pPr>
            <w:r>
              <w:rPr>
                <w:rFonts w:hint="eastAsia" w:ascii="宋体" w:hAnsi="宋体" w:cs="宋体"/>
                <w:kern w:val="0"/>
                <w:sz w:val="22"/>
                <w:szCs w:val="22"/>
              </w:rPr>
              <w:t>2</w:t>
            </w:r>
          </w:p>
        </w:tc>
        <w:tc>
          <w:tcPr>
            <w:tcW w:w="2587" w:type="dxa"/>
            <w:vAlign w:val="center"/>
          </w:tcPr>
          <w:p>
            <w:pPr>
              <w:adjustRightInd w:val="0"/>
              <w:snapToGrid w:val="0"/>
              <w:spacing w:line="320" w:lineRule="exact"/>
              <w:ind w:firstLine="0" w:firstLineChars="0"/>
              <w:rPr>
                <w:rFonts w:ascii="宋体" w:hAnsi="宋体" w:cs="宋体"/>
                <w:kern w:val="0"/>
                <w:sz w:val="22"/>
                <w:szCs w:val="22"/>
              </w:rPr>
            </w:pPr>
            <w:r>
              <w:rPr>
                <w:rFonts w:hint="eastAsia" w:ascii="宋体" w:hAnsi="宋体" w:cs="宋体"/>
                <w:kern w:val="0"/>
                <w:sz w:val="22"/>
                <w:szCs w:val="22"/>
              </w:rPr>
              <w:t>支付凭证（转账记录）</w:t>
            </w:r>
          </w:p>
        </w:tc>
        <w:tc>
          <w:tcPr>
            <w:tcW w:w="4495" w:type="dxa"/>
            <w:vAlign w:val="center"/>
          </w:tcPr>
          <w:p>
            <w:pPr>
              <w:adjustRightInd w:val="0"/>
              <w:snapToGrid w:val="0"/>
              <w:spacing w:line="320" w:lineRule="exact"/>
              <w:ind w:firstLine="0" w:firstLineChars="0"/>
              <w:rPr>
                <w:rFonts w:ascii="宋体" w:hAnsi="宋体" w:cs="宋体"/>
                <w:kern w:val="0"/>
                <w:sz w:val="22"/>
                <w:szCs w:val="22"/>
              </w:rPr>
            </w:pPr>
            <w:r>
              <w:rPr>
                <w:rFonts w:hint="eastAsia" w:ascii="宋体" w:hAnsi="宋体" w:cs="宋体"/>
                <w:kern w:val="0"/>
                <w:sz w:val="22"/>
                <w:szCs w:val="22"/>
              </w:rPr>
              <w:t>能证明调遣费用的原始记录。</w:t>
            </w:r>
          </w:p>
        </w:tc>
        <w:tc>
          <w:tcPr>
            <w:tcW w:w="1181" w:type="dxa"/>
            <w:vAlign w:val="center"/>
          </w:tcPr>
          <w:p>
            <w:pPr>
              <w:adjustRightInd w:val="0"/>
              <w:snapToGrid w:val="0"/>
              <w:spacing w:line="320" w:lineRule="exact"/>
              <w:ind w:firstLine="0" w:firstLineChars="0"/>
              <w:rPr>
                <w:rFonts w:ascii="宋体" w:hAnsi="宋体" w:cs="宋体"/>
                <w:kern w:val="0"/>
                <w:sz w:val="22"/>
                <w:szCs w:val="22"/>
              </w:rPr>
            </w:pPr>
            <w:r>
              <w:rPr>
                <w:rFonts w:hint="eastAsia" w:ascii="宋体" w:hAnsi="宋体" w:cs="宋体"/>
                <w:kern w:val="0"/>
                <w:sz w:val="22"/>
                <w:szCs w:val="22"/>
              </w:rPr>
              <w:t>基础资料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96" w:type="dxa"/>
            <w:vAlign w:val="center"/>
          </w:tcPr>
          <w:p>
            <w:pPr>
              <w:adjustRightInd w:val="0"/>
              <w:snapToGrid w:val="0"/>
              <w:spacing w:line="320" w:lineRule="exact"/>
              <w:ind w:firstLine="0" w:firstLineChars="0"/>
              <w:jc w:val="center"/>
              <w:rPr>
                <w:rFonts w:ascii="宋体" w:hAnsi="宋体" w:cs="宋体"/>
                <w:kern w:val="0"/>
                <w:sz w:val="22"/>
                <w:szCs w:val="22"/>
              </w:rPr>
            </w:pPr>
            <w:r>
              <w:rPr>
                <w:rFonts w:hint="eastAsia" w:ascii="宋体" w:hAnsi="宋体" w:cs="宋体"/>
                <w:kern w:val="0"/>
                <w:sz w:val="22"/>
                <w:szCs w:val="22"/>
              </w:rPr>
              <w:t>3</w:t>
            </w:r>
          </w:p>
        </w:tc>
        <w:tc>
          <w:tcPr>
            <w:tcW w:w="2587" w:type="dxa"/>
            <w:vAlign w:val="center"/>
          </w:tcPr>
          <w:p>
            <w:pPr>
              <w:adjustRightInd w:val="0"/>
              <w:snapToGrid w:val="0"/>
              <w:spacing w:line="320" w:lineRule="exact"/>
              <w:ind w:firstLine="0" w:firstLineChars="0"/>
              <w:rPr>
                <w:rFonts w:ascii="宋体" w:hAnsi="宋体" w:cs="宋体"/>
                <w:kern w:val="0"/>
                <w:sz w:val="22"/>
                <w:szCs w:val="22"/>
              </w:rPr>
            </w:pPr>
            <w:r>
              <w:rPr>
                <w:rFonts w:hint="eastAsia" w:ascii="宋体" w:hAnsi="宋体" w:cs="宋体"/>
                <w:kern w:val="0"/>
                <w:sz w:val="22"/>
                <w:szCs w:val="22"/>
              </w:rPr>
              <w:t>相关票据凭证</w:t>
            </w:r>
          </w:p>
        </w:tc>
        <w:tc>
          <w:tcPr>
            <w:tcW w:w="4495" w:type="dxa"/>
            <w:vAlign w:val="center"/>
          </w:tcPr>
          <w:p>
            <w:pPr>
              <w:adjustRightInd w:val="0"/>
              <w:snapToGrid w:val="0"/>
              <w:spacing w:line="320" w:lineRule="exact"/>
              <w:ind w:firstLine="0" w:firstLineChars="0"/>
              <w:rPr>
                <w:rFonts w:ascii="宋体" w:hAnsi="宋体" w:cs="宋体"/>
                <w:kern w:val="0"/>
                <w:sz w:val="22"/>
                <w:szCs w:val="22"/>
              </w:rPr>
            </w:pPr>
            <w:r>
              <w:rPr>
                <w:rFonts w:hint="eastAsia" w:ascii="宋体" w:hAnsi="宋体" w:cs="宋体"/>
                <w:kern w:val="0"/>
                <w:sz w:val="22"/>
                <w:szCs w:val="22"/>
              </w:rPr>
              <w:t>需核验航空公司确认的包机乘客名单、实名制票据、火车车票、长途汽车票等。</w:t>
            </w:r>
          </w:p>
        </w:tc>
        <w:tc>
          <w:tcPr>
            <w:tcW w:w="1181" w:type="dxa"/>
            <w:vAlign w:val="center"/>
          </w:tcPr>
          <w:p>
            <w:pPr>
              <w:adjustRightInd w:val="0"/>
              <w:snapToGrid w:val="0"/>
              <w:spacing w:line="320" w:lineRule="exact"/>
              <w:ind w:firstLine="0" w:firstLineChars="0"/>
              <w:rPr>
                <w:rFonts w:ascii="宋体" w:hAnsi="宋体" w:cs="宋体"/>
                <w:kern w:val="0"/>
                <w:sz w:val="22"/>
                <w:szCs w:val="22"/>
              </w:rPr>
            </w:pPr>
            <w:r>
              <w:rPr>
                <w:rFonts w:hint="eastAsia" w:ascii="宋体" w:hAnsi="宋体" w:cs="宋体"/>
                <w:kern w:val="0"/>
                <w:sz w:val="22"/>
                <w:szCs w:val="22"/>
              </w:rPr>
              <w:t>主证资料</w:t>
            </w:r>
          </w:p>
        </w:tc>
      </w:tr>
    </w:tbl>
    <w:p>
      <w:pPr>
        <w:adjustRightInd w:val="0"/>
        <w:snapToGrid w:val="0"/>
        <w:spacing w:line="480" w:lineRule="exact"/>
        <w:ind w:firstLine="0" w:firstLineChars="0"/>
      </w:pPr>
    </w:p>
    <w:p>
      <w:pPr>
        <w:widowControl/>
        <w:spacing w:line="480" w:lineRule="exact"/>
        <w:ind w:firstLine="0" w:firstLineChars="0"/>
        <w:jc w:val="left"/>
      </w:pPr>
      <w:r>
        <w:br w:type="page"/>
      </w:r>
    </w:p>
    <w:p>
      <w:pPr>
        <w:widowControl/>
        <w:spacing w:line="480" w:lineRule="exact"/>
        <w:ind w:firstLine="0" w:firstLineChars="0"/>
        <w:jc w:val="left"/>
        <w:rPr>
          <w:b/>
          <w:spacing w:val="57"/>
          <w:kern w:val="44"/>
          <w:sz w:val="32"/>
        </w:rPr>
      </w:pPr>
    </w:p>
    <w:p>
      <w:pPr>
        <w:pStyle w:val="2"/>
        <w:spacing w:after="190" w:afterLines="50" w:line="480" w:lineRule="exact"/>
      </w:pPr>
      <w:bookmarkStart w:id="30" w:name="_Toc107140242"/>
      <w:r>
        <w:rPr>
          <w:rFonts w:hint="eastAsia" w:ascii="黑体" w:hAnsi="黑体" w:eastAsia="黑体" w:cs="黑体"/>
        </w:rPr>
        <w:t>8企业管理费费用标准</w:t>
      </w:r>
      <w:bookmarkEnd w:id="30"/>
    </w:p>
    <w:p>
      <w:pPr>
        <w:adjustRightInd w:val="0"/>
        <w:snapToGrid w:val="0"/>
        <w:spacing w:line="480" w:lineRule="exact"/>
        <w:ind w:firstLine="560" w:firstLineChars="200"/>
        <w:rPr>
          <w:rFonts w:hint="eastAsia" w:ascii="宋体" w:hAnsi="宋体" w:cs="宋体"/>
        </w:rPr>
      </w:pPr>
      <w:r>
        <w:rPr>
          <w:rFonts w:hint="eastAsia"/>
        </w:rPr>
        <w:t>8.1</w:t>
      </w:r>
      <w:r>
        <w:rPr>
          <w:rFonts w:hint="eastAsia" w:ascii="宋体" w:hAnsi="宋体" w:cs="宋体"/>
        </w:rPr>
        <w:t>企业管理费以项目人工成本、材料成本、机械成本、专业工程成本之和为基数乘以3.5%计算。</w:t>
      </w:r>
    </w:p>
    <w:p>
      <w:pPr>
        <w:spacing w:line="480" w:lineRule="exact"/>
        <w:ind w:firstLine="560" w:firstLineChars="200"/>
      </w:pPr>
      <w:r>
        <w:rPr>
          <w:rFonts w:hint="eastAsia"/>
        </w:rPr>
        <w:t>8.</w:t>
      </w:r>
      <w:r>
        <w:t>2</w:t>
      </w:r>
      <w:r>
        <w:rPr>
          <w:rFonts w:hint="eastAsia"/>
        </w:rPr>
        <w:t>专业工程由建设单位发包的，专业工程成本不作为第8.</w:t>
      </w:r>
      <w:r>
        <w:t>1</w:t>
      </w:r>
      <w:r>
        <w:rPr>
          <w:rFonts w:hint="eastAsia"/>
        </w:rPr>
        <w:t>条规定的企业管理费计算基数。</w:t>
      </w:r>
    </w:p>
    <w:p>
      <w:pPr>
        <w:spacing w:line="480" w:lineRule="exact"/>
        <w:ind w:firstLine="0" w:firstLineChars="0"/>
      </w:pPr>
    </w:p>
    <w:p>
      <w:pPr>
        <w:widowControl/>
        <w:spacing w:line="480" w:lineRule="exact"/>
        <w:ind w:firstLine="0" w:firstLineChars="0"/>
        <w:jc w:val="left"/>
      </w:pPr>
      <w:r>
        <w:br w:type="page"/>
      </w:r>
    </w:p>
    <w:p>
      <w:pPr>
        <w:widowControl/>
        <w:spacing w:line="480" w:lineRule="exact"/>
        <w:ind w:firstLine="0" w:firstLineChars="0"/>
        <w:jc w:val="left"/>
        <w:rPr>
          <w:b/>
          <w:spacing w:val="57"/>
          <w:kern w:val="44"/>
          <w:sz w:val="32"/>
        </w:rPr>
      </w:pPr>
    </w:p>
    <w:p>
      <w:pPr>
        <w:pStyle w:val="2"/>
        <w:spacing w:after="190" w:afterLines="50" w:line="480" w:lineRule="exact"/>
      </w:pPr>
      <w:bookmarkStart w:id="31" w:name="_Toc107140243"/>
      <w:r>
        <w:rPr>
          <w:rFonts w:hint="eastAsia"/>
        </w:rPr>
        <w:t>9 增值税</w:t>
      </w:r>
      <w:bookmarkEnd w:id="31"/>
    </w:p>
    <w:p>
      <w:pPr>
        <w:spacing w:line="480" w:lineRule="exact"/>
        <w:ind w:firstLine="560" w:firstLineChars="200"/>
      </w:pPr>
      <w:r>
        <w:rPr>
          <w:rFonts w:hint="eastAsia"/>
        </w:rPr>
        <w:t>9.1增值税前的各项成本（包括以劳务分包合同认定的人工成本）均应以不含进项税额的价格计算，增值税按照建筑工程行业现行税率计取。</w:t>
      </w:r>
    </w:p>
    <w:p>
      <w:pPr>
        <w:widowControl/>
        <w:spacing w:line="480" w:lineRule="exact"/>
        <w:ind w:firstLine="0" w:firstLineChars="0"/>
        <w:jc w:val="left"/>
      </w:pPr>
      <w:r>
        <w:br w:type="page"/>
      </w:r>
    </w:p>
    <w:p>
      <w:pPr>
        <w:spacing w:after="190" w:afterLines="50" w:line="480" w:lineRule="exact"/>
        <w:ind w:firstLine="0" w:firstLineChars="0"/>
      </w:pPr>
    </w:p>
    <w:p>
      <w:pPr>
        <w:pStyle w:val="2"/>
        <w:spacing w:after="190" w:afterLines="50" w:line="480" w:lineRule="exact"/>
        <w:rPr>
          <w:rFonts w:hint="eastAsia" w:ascii="黑体" w:hAnsi="黑体" w:eastAsia="黑体" w:cs="黑体"/>
        </w:rPr>
      </w:pPr>
      <w:bookmarkStart w:id="32" w:name="_Toc107140244"/>
      <w:r>
        <w:rPr>
          <w:rFonts w:hint="eastAsia" w:ascii="黑体" w:hAnsi="黑体" w:eastAsia="黑体" w:cs="黑体"/>
        </w:rPr>
        <w:t>10病床及配套物资费</w:t>
      </w:r>
      <w:bookmarkEnd w:id="32"/>
    </w:p>
    <w:p>
      <w:pPr>
        <w:spacing w:line="480" w:lineRule="exact"/>
        <w:ind w:firstLine="560" w:firstLineChars="200"/>
        <w:rPr>
          <w:rFonts w:hint="eastAsia" w:ascii="宋体" w:hAnsi="宋体" w:cs="宋体"/>
        </w:rPr>
      </w:pPr>
      <w:r>
        <w:rPr>
          <w:rFonts w:hint="eastAsia"/>
        </w:rPr>
        <w:t>1</w:t>
      </w:r>
      <w:r>
        <w:t xml:space="preserve">0.1 </w:t>
      </w:r>
      <w:r>
        <w:rPr>
          <w:rFonts w:hint="eastAsia" w:ascii="宋体" w:hAnsi="宋体" w:cs="宋体"/>
        </w:rPr>
        <w:t>病床及配套物资费，以采购合同、发票、购货清单等按实计价，病床数量不超过设计数量的103%，床头柜、床单被褥等配套物资数量不超过病床设计数量的108%。</w:t>
      </w:r>
    </w:p>
    <w:p>
      <w:pPr>
        <w:spacing w:line="480" w:lineRule="exact"/>
        <w:ind w:firstLine="560" w:firstLineChars="200"/>
        <w:rPr>
          <w:rFonts w:hint="eastAsia" w:ascii="宋体" w:hAnsi="宋体" w:cs="宋体"/>
        </w:rPr>
      </w:pPr>
      <w:r>
        <w:t xml:space="preserve">10.2 </w:t>
      </w:r>
      <w:r>
        <w:rPr>
          <w:rFonts w:hint="eastAsia" w:ascii="宋体" w:hAnsi="宋体" w:cs="宋体"/>
        </w:rPr>
        <w:t>施工单位采购病床及配套物资的，以不含进项税额价格计算费用，并相应计取第9.1条规定的增值税；病床及配套物资费的50%作为第8.1条规定的企业管理费计算基数。</w:t>
      </w:r>
    </w:p>
    <w:p>
      <w:pPr>
        <w:widowControl/>
        <w:spacing w:line="480" w:lineRule="exact"/>
        <w:ind w:firstLine="0" w:firstLineChars="0"/>
        <w:jc w:val="left"/>
      </w:pPr>
      <w:r>
        <w:br w:type="page"/>
      </w:r>
    </w:p>
    <w:p>
      <w:pPr>
        <w:spacing w:line="480" w:lineRule="exact"/>
        <w:ind w:firstLine="0" w:firstLineChars="0"/>
      </w:pPr>
    </w:p>
    <w:p>
      <w:pPr>
        <w:pStyle w:val="2"/>
        <w:spacing w:after="190" w:afterLines="50" w:line="480" w:lineRule="exact"/>
        <w:rPr>
          <w:rFonts w:hint="eastAsia" w:ascii="黑体" w:hAnsi="黑体" w:eastAsia="黑体" w:cs="黑体"/>
        </w:rPr>
      </w:pPr>
      <w:bookmarkStart w:id="33" w:name="_Toc107140245"/>
      <w:r>
        <w:rPr>
          <w:rFonts w:hint="eastAsia" w:ascii="黑体" w:hAnsi="黑体" w:eastAsia="黑体" w:cs="黑体"/>
        </w:rPr>
        <w:t>11工程设计费、监理费</w:t>
      </w:r>
      <w:bookmarkEnd w:id="33"/>
    </w:p>
    <w:p>
      <w:pPr>
        <w:spacing w:line="480" w:lineRule="exact"/>
        <w:ind w:firstLine="560" w:firstLineChars="200"/>
      </w:pPr>
      <w:r>
        <w:rPr>
          <w:rFonts w:hint="eastAsia"/>
        </w:rPr>
        <w:t>1</w:t>
      </w:r>
      <w:r>
        <w:t xml:space="preserve">1.1 </w:t>
      </w:r>
      <w:r>
        <w:rPr>
          <w:rFonts w:hint="eastAsia" w:ascii="宋体" w:hAnsi="宋体" w:cs="宋体"/>
        </w:rPr>
        <w:t>工程设计收费，参照《工程勘察设计收费管理规定》的《工程设计收费标准》确定收费基准价，以收费基准价</w:t>
      </w:r>
      <w:bookmarkStart w:id="34" w:name="_Hlk107501060"/>
      <w:r>
        <w:rPr>
          <w:rFonts w:hint="eastAsia" w:ascii="宋体" w:hAnsi="宋体" w:cs="宋体"/>
        </w:rPr>
        <w:t>×</w:t>
      </w:r>
      <w:bookmarkEnd w:id="34"/>
      <w:r>
        <w:rPr>
          <w:rFonts w:hint="eastAsia" w:ascii="宋体" w:hAnsi="宋体" w:cs="宋体"/>
        </w:rPr>
        <w:t>（工作量比例系数）×（1±浮动幅度值）计算。工作量比例系数为48%，浮动幅度值为零。</w:t>
      </w:r>
    </w:p>
    <w:p>
      <w:pPr>
        <w:spacing w:line="480" w:lineRule="exact"/>
        <w:ind w:firstLine="560" w:firstLineChars="200"/>
        <w:rPr>
          <w:rFonts w:hint="eastAsia" w:ascii="宋体" w:hAnsi="宋体" w:cs="宋体"/>
        </w:rPr>
      </w:pPr>
      <w:r>
        <w:rPr>
          <w:rFonts w:hint="eastAsia"/>
        </w:rPr>
        <w:t>1</w:t>
      </w:r>
      <w:r>
        <w:t xml:space="preserve">1.2 </w:t>
      </w:r>
      <w:r>
        <w:rPr>
          <w:rFonts w:hint="eastAsia" w:ascii="宋体" w:hAnsi="宋体" w:cs="宋体"/>
        </w:rPr>
        <w:t>工程监理服务收费，参照《建设工程监理与相关服务收费管理规定》的《建设工程监理与相关服务收费标准》确定收费基准价，以收费基准价×（工作量比例系数）×（1±浮动幅度值）计算。工作量比例系数为79%，浮动幅度值为零。</w:t>
      </w:r>
    </w:p>
    <w:p>
      <w:pPr>
        <w:spacing w:line="480" w:lineRule="exact"/>
        <w:ind w:firstLine="560" w:firstLineChars="200"/>
        <w:rPr>
          <w:rFonts w:hint="eastAsia" w:ascii="宋体" w:hAnsi="宋体" w:cs="宋体"/>
        </w:rPr>
      </w:pPr>
      <w:r>
        <w:rPr>
          <w:rFonts w:hint="eastAsia"/>
        </w:rPr>
        <w:t>11.</w:t>
      </w:r>
      <w:r>
        <w:rPr>
          <w:rFonts w:hint="eastAsia"/>
          <w:lang w:val="en-US" w:eastAsia="zh-CN"/>
        </w:rPr>
        <w:t>3</w:t>
      </w:r>
      <w:bookmarkStart w:id="35" w:name="_GoBack"/>
      <w:bookmarkEnd w:id="35"/>
      <w:r>
        <w:rPr>
          <w:rFonts w:hint="eastAsia" w:ascii="宋体" w:hAnsi="宋体" w:cs="宋体"/>
        </w:rPr>
        <w:t>确定收费基准价的计费额，以本指引确定的扣除防疫专项成本的建筑安装工程费和病床购置费的一定比例计算，公式如下：</w:t>
      </w:r>
    </w:p>
    <w:p>
      <w:pPr>
        <w:spacing w:line="480" w:lineRule="exact"/>
        <w:ind w:firstLine="560" w:firstLineChars="200"/>
        <w:rPr>
          <w:rFonts w:hint="eastAsia" w:ascii="宋体" w:hAnsi="宋体" w:cs="宋体"/>
        </w:rPr>
      </w:pPr>
      <w:r>
        <w:rPr>
          <w:rFonts w:hint="eastAsia" w:ascii="宋体" w:hAnsi="宋体" w:cs="宋体"/>
        </w:rPr>
        <w:t>方舱医院：计费额=人工成本×60%+材料成本×80%+（机械成本+专业工程成本+现场管理费+企业管理费）×70%+相应的增值税+病床购置费×80%。</w:t>
      </w:r>
    </w:p>
    <w:p>
      <w:pPr>
        <w:spacing w:line="480" w:lineRule="exact"/>
        <w:ind w:firstLine="560" w:firstLineChars="200"/>
        <w:rPr>
          <w:rFonts w:hint="eastAsia" w:ascii="宋体" w:hAnsi="宋体" w:cs="宋体"/>
        </w:rPr>
      </w:pPr>
      <w:r>
        <w:rPr>
          <w:rFonts w:hint="eastAsia" w:ascii="宋体" w:hAnsi="宋体" w:cs="宋体"/>
        </w:rPr>
        <w:t>隔离用房：计费额=人工成本×60%+材料成本×50%+（机械成本+专业工程费+现场管理费+企业管理费）×55%+相应的增值税+病床购置费×80%。</w:t>
      </w:r>
    </w:p>
    <w:sectPr>
      <w:footerReference r:id="rId11" w:type="default"/>
      <w:pgSz w:w="11906" w:h="16838"/>
      <w:pgMar w:top="2098" w:right="1474" w:bottom="1985" w:left="1588" w:header="851" w:footer="1417" w:gutter="0"/>
      <w:pgNumType w:fmt="decimal"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隶书">
    <w:altName w:val="宋体"/>
    <w:panose1 w:val="0201050906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汉仪旗黑-30简">
    <w:panose1 w:val="00020600040101010101"/>
    <w:charset w:val="86"/>
    <w:family w:val="auto"/>
    <w:pitch w:val="default"/>
    <w:sig w:usb0="A00002BF" w:usb1="1ACF7CFA" w:usb2="00000016" w:usb3="00000000" w:csb0="0004009F" w:csb1="DFD70000"/>
  </w:font>
  <w:font w:name="汉仪瑞意宋简">
    <w:panose1 w:val="00020600040101010101"/>
    <w:charset w:val="86"/>
    <w:family w:val="auto"/>
    <w:pitch w:val="default"/>
    <w:sig w:usb0="A00002BF" w:usb1="1ACF7CFA" w:usb2="00000016" w:usb3="00000000" w:csb0="0004009F" w:csb1="DFD70000"/>
  </w:font>
  <w:font w:name="Bitstream Charter">
    <w:panose1 w:val="00000000000000000000"/>
    <w:charset w:val="00"/>
    <w:family w:val="auto"/>
    <w:pitch w:val="default"/>
    <w:sig w:usb0="00000000" w:usb1="00000000" w:usb2="00000000" w:usb3="00000000" w:csb0="00000000" w:csb1="00000000"/>
  </w:font>
  <w:font w:name="CESI仿宋-GB2312">
    <w:panose1 w:val="02000500000000000000"/>
    <w:charset w:val="86"/>
    <w:family w:val="auto"/>
    <w:pitch w:val="default"/>
    <w:sig w:usb0="800002AF" w:usb1="084F6CF8" w:usb2="00000010" w:usb3="00000000" w:csb0="0004000F" w:csb1="00000000"/>
  </w:font>
  <w:font w:name="CESI楷体-GB2312">
    <w:panose1 w:val="02000500000000000000"/>
    <w:charset w:val="86"/>
    <w:family w:val="auto"/>
    <w:pitch w:val="default"/>
    <w:sig w:usb0="800002BF" w:usb1="184F6CF8" w:usb2="00000012" w:usb3="00000000" w:csb0="0004000F" w:csb1="00000000"/>
  </w:font>
  <w:font w:name="Noto Sans Display">
    <w:panose1 w:val="020B0502040504020204"/>
    <w:charset w:val="00"/>
    <w:family w:val="auto"/>
    <w:pitch w:val="default"/>
    <w:sig w:usb0="E00002FF" w:usb1="4000201F" w:usb2="08000029" w:usb3="00100000" w:csb0="0000019F" w:csb1="00000000"/>
  </w:font>
  <w:font w:name="Noto Sans Linear B">
    <w:panose1 w:val="020B0502040504020204"/>
    <w:charset w:val="00"/>
    <w:family w:val="auto"/>
    <w:pitch w:val="default"/>
    <w:sig w:usb0="00000003" w:usb1="02000000" w:usb2="00000000" w:usb3="00000020" w:csb0="00000001" w:csb1="00000000"/>
  </w:font>
  <w:font w:name="方正宋体S-超大字符集">
    <w:panose1 w:val="02000000000000000000"/>
    <w:charset w:val="86"/>
    <w:family w:val="auto"/>
    <w:pitch w:val="default"/>
    <w:sig w:usb0="00000001" w:usb1="08000000" w:usb2="00000000" w:usb3="00000000" w:csb0="00040000" w:csb1="00000000"/>
  </w:font>
  <w:font w:name="Noto Sans Multani">
    <w:panose1 w:val="020B0502040504020204"/>
    <w:charset w:val="00"/>
    <w:family w:val="auto"/>
    <w:pitch w:val="default"/>
    <w:sig w:usb0="00020003" w:usb1="02000000" w:usb2="00000000" w:usb3="00000000" w:csb0="00000001" w:csb1="00000000"/>
  </w:font>
  <w:font w:name="Noto Sans Sinhala">
    <w:panose1 w:val="020B0502040504020204"/>
    <w:charset w:val="00"/>
    <w:family w:val="auto"/>
    <w:pitch w:val="default"/>
    <w:sig w:usb0="80008003" w:usb1="02002040" w:usb2="00000200" w:usb3="00000000" w:csb0="00000001" w:csb1="00000000"/>
  </w:font>
  <w:font w:name="Noto Serif Ahom">
    <w:panose1 w:val="02020502060505020204"/>
    <w:charset w:val="00"/>
    <w:family w:val="auto"/>
    <w:pitch w:val="default"/>
    <w:sig w:usb0="00000003" w:usb1="02002000" w:usb2="00000000" w:usb3="00000000" w:csb0="00000001" w:csb1="00000000"/>
  </w:font>
  <w:font w:name="Noto Serif CJK JP">
    <w:panose1 w:val="02020400000000000000"/>
    <w:charset w:val="86"/>
    <w:family w:val="auto"/>
    <w:pitch w:val="default"/>
    <w:sig w:usb0="30000083" w:usb1="2BDF3C10" w:usb2="00000016" w:usb3="00000000" w:csb0="602E0107" w:csb1="00000000"/>
  </w:font>
  <w:font w:name="Noto Serif Gujarati">
    <w:panose1 w:val="02020502060505020204"/>
    <w:charset w:val="00"/>
    <w:family w:val="auto"/>
    <w:pitch w:val="default"/>
    <w:sig w:usb0="80048003" w:usb1="00002042" w:usb2="00000000" w:usb3="00000000" w:csb0="00000001" w:csb1="00000000"/>
  </w:font>
  <w:font w:name="Noto Serif Hebrew">
    <w:panose1 w:val="02020502060505020204"/>
    <w:charset w:val="00"/>
    <w:family w:val="auto"/>
    <w:pitch w:val="default"/>
    <w:sig w:usb0="80000803" w:usb1="40002002" w:usb2="00000000" w:usb3="00000000" w:csb0="00000020" w:csb1="00000000"/>
  </w:font>
  <w:font w:name="Noto Serif Kannada">
    <w:panose1 w:val="02020502060505020204"/>
    <w:charset w:val="00"/>
    <w:family w:val="auto"/>
    <w:pitch w:val="default"/>
    <w:sig w:usb0="80408003" w:usb1="00002042" w:usb2="00000000" w:usb3="00000000" w:csb0="00000001" w:csb1="00000000"/>
  </w:font>
  <w:font w:name="Unifont">
    <w:panose1 w:val="02000604000000000000"/>
    <w:charset w:val="86"/>
    <w:family w:val="auto"/>
    <w:pitch w:val="default"/>
    <w:sig w:usb0="FFFFFFFF" w:usb1="EBFFFFFF" w:usb2="E817FFFF" w:usb3="007F001F"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560"/>
      <w:jc w:val="center"/>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9477610"/>
      <w:docPartObj>
        <w:docPartGallery w:val="autotext"/>
      </w:docPartObj>
    </w:sdtPr>
    <w:sdtEndPr>
      <w:rPr>
        <w:rFonts w:ascii="宋体" w:hAnsi="宋体"/>
        <w:sz w:val="28"/>
        <w:szCs w:val="28"/>
      </w:rPr>
    </w:sdtEndPr>
    <w:sdtContent>
      <w:p>
        <w:pPr>
          <w:pStyle w:val="9"/>
          <w:ind w:firstLine="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560"/>
      <w:jc w:val="center"/>
      <w:rPr>
        <w:rFonts w:ascii="宋体" w:hAnsi="宋体"/>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documentProtection w:enforcement="0"/>
  <w:defaultTabStop w:val="420"/>
  <w:drawingGridHorizontalSpacing w:val="140"/>
  <w:drawingGridVerticalSpacing w:val="381"/>
  <w:displayHorizontalDrawingGridEvery w:val="2"/>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g0MzMyNGJiMDEzODc5ODNlMGVjODViOWRkZjg1MDgifQ=="/>
  </w:docVars>
  <w:rsids>
    <w:rsidRoot w:val="34FD604B"/>
    <w:rsid w:val="000165CE"/>
    <w:rsid w:val="000705E3"/>
    <w:rsid w:val="000A3CD2"/>
    <w:rsid w:val="000D74C4"/>
    <w:rsid w:val="000F3D12"/>
    <w:rsid w:val="00107294"/>
    <w:rsid w:val="00110D5F"/>
    <w:rsid w:val="00145C82"/>
    <w:rsid w:val="00147A07"/>
    <w:rsid w:val="0017078C"/>
    <w:rsid w:val="00171A9F"/>
    <w:rsid w:val="00172670"/>
    <w:rsid w:val="00180778"/>
    <w:rsid w:val="0018477E"/>
    <w:rsid w:val="00196A8D"/>
    <w:rsid w:val="001973CF"/>
    <w:rsid w:val="001A6A6A"/>
    <w:rsid w:val="001C3430"/>
    <w:rsid w:val="00210C21"/>
    <w:rsid w:val="00223EFC"/>
    <w:rsid w:val="00227138"/>
    <w:rsid w:val="00254C08"/>
    <w:rsid w:val="00260642"/>
    <w:rsid w:val="002869DE"/>
    <w:rsid w:val="0028723B"/>
    <w:rsid w:val="002B7855"/>
    <w:rsid w:val="002C113E"/>
    <w:rsid w:val="002E6569"/>
    <w:rsid w:val="00316EC2"/>
    <w:rsid w:val="00353064"/>
    <w:rsid w:val="00377CD7"/>
    <w:rsid w:val="003A5CD8"/>
    <w:rsid w:val="003B295D"/>
    <w:rsid w:val="003D3C7F"/>
    <w:rsid w:val="003E000E"/>
    <w:rsid w:val="003E5086"/>
    <w:rsid w:val="00413ADC"/>
    <w:rsid w:val="004177AA"/>
    <w:rsid w:val="0042103F"/>
    <w:rsid w:val="004229B3"/>
    <w:rsid w:val="00425144"/>
    <w:rsid w:val="004416C9"/>
    <w:rsid w:val="00476E95"/>
    <w:rsid w:val="004819A9"/>
    <w:rsid w:val="004943C6"/>
    <w:rsid w:val="004D010F"/>
    <w:rsid w:val="004E067B"/>
    <w:rsid w:val="004F204A"/>
    <w:rsid w:val="00501C93"/>
    <w:rsid w:val="00542FB8"/>
    <w:rsid w:val="005516B0"/>
    <w:rsid w:val="00557DEB"/>
    <w:rsid w:val="005600DB"/>
    <w:rsid w:val="005668AE"/>
    <w:rsid w:val="005822F2"/>
    <w:rsid w:val="00596A61"/>
    <w:rsid w:val="005D471F"/>
    <w:rsid w:val="00600383"/>
    <w:rsid w:val="00617260"/>
    <w:rsid w:val="00631EBB"/>
    <w:rsid w:val="00643881"/>
    <w:rsid w:val="0064391E"/>
    <w:rsid w:val="00671FBC"/>
    <w:rsid w:val="00715C1D"/>
    <w:rsid w:val="00722D74"/>
    <w:rsid w:val="00757FB7"/>
    <w:rsid w:val="00765C98"/>
    <w:rsid w:val="007A2243"/>
    <w:rsid w:val="007C15A3"/>
    <w:rsid w:val="007D5974"/>
    <w:rsid w:val="007D6349"/>
    <w:rsid w:val="0080256F"/>
    <w:rsid w:val="00806779"/>
    <w:rsid w:val="00810CDC"/>
    <w:rsid w:val="00815321"/>
    <w:rsid w:val="008418BF"/>
    <w:rsid w:val="00867DDF"/>
    <w:rsid w:val="00872BDA"/>
    <w:rsid w:val="008A48A2"/>
    <w:rsid w:val="008A710C"/>
    <w:rsid w:val="008B3A2F"/>
    <w:rsid w:val="008D46F1"/>
    <w:rsid w:val="009023A6"/>
    <w:rsid w:val="0090513F"/>
    <w:rsid w:val="00925B02"/>
    <w:rsid w:val="0093021A"/>
    <w:rsid w:val="00930E97"/>
    <w:rsid w:val="00940593"/>
    <w:rsid w:val="00953F1A"/>
    <w:rsid w:val="00953F9E"/>
    <w:rsid w:val="00966D75"/>
    <w:rsid w:val="00980EF0"/>
    <w:rsid w:val="00994EA2"/>
    <w:rsid w:val="009A4F9C"/>
    <w:rsid w:val="009C7DEF"/>
    <w:rsid w:val="00A42374"/>
    <w:rsid w:val="00A51F19"/>
    <w:rsid w:val="00A565A3"/>
    <w:rsid w:val="00A75152"/>
    <w:rsid w:val="00AE45F9"/>
    <w:rsid w:val="00B0048B"/>
    <w:rsid w:val="00B01079"/>
    <w:rsid w:val="00B1175E"/>
    <w:rsid w:val="00B37674"/>
    <w:rsid w:val="00B449C4"/>
    <w:rsid w:val="00B57775"/>
    <w:rsid w:val="00B64A8A"/>
    <w:rsid w:val="00B761DA"/>
    <w:rsid w:val="00B850CA"/>
    <w:rsid w:val="00B92E97"/>
    <w:rsid w:val="00BC1564"/>
    <w:rsid w:val="00BE79DC"/>
    <w:rsid w:val="00C36560"/>
    <w:rsid w:val="00C536C4"/>
    <w:rsid w:val="00C71DEB"/>
    <w:rsid w:val="00C73C10"/>
    <w:rsid w:val="00CA419D"/>
    <w:rsid w:val="00CB35F5"/>
    <w:rsid w:val="00CD2100"/>
    <w:rsid w:val="00CF2C65"/>
    <w:rsid w:val="00CF3B82"/>
    <w:rsid w:val="00CF3DAD"/>
    <w:rsid w:val="00D501A2"/>
    <w:rsid w:val="00D65A6D"/>
    <w:rsid w:val="00D863F0"/>
    <w:rsid w:val="00DA0308"/>
    <w:rsid w:val="00DA03D2"/>
    <w:rsid w:val="00DC1536"/>
    <w:rsid w:val="00E25205"/>
    <w:rsid w:val="00E31F20"/>
    <w:rsid w:val="00E326D7"/>
    <w:rsid w:val="00E732F9"/>
    <w:rsid w:val="00E8426C"/>
    <w:rsid w:val="00EC329C"/>
    <w:rsid w:val="00ED55B5"/>
    <w:rsid w:val="00EE4E9D"/>
    <w:rsid w:val="00EE503E"/>
    <w:rsid w:val="00EE7047"/>
    <w:rsid w:val="00EF2BDD"/>
    <w:rsid w:val="00EF7155"/>
    <w:rsid w:val="00EF717D"/>
    <w:rsid w:val="00F3610C"/>
    <w:rsid w:val="00F36341"/>
    <w:rsid w:val="00F6419D"/>
    <w:rsid w:val="00F90EB3"/>
    <w:rsid w:val="00FB0955"/>
    <w:rsid w:val="00FC68D5"/>
    <w:rsid w:val="015E219A"/>
    <w:rsid w:val="019636FB"/>
    <w:rsid w:val="019B3CD2"/>
    <w:rsid w:val="01A6785C"/>
    <w:rsid w:val="01BC5901"/>
    <w:rsid w:val="01D80329"/>
    <w:rsid w:val="01E60FA9"/>
    <w:rsid w:val="021E071F"/>
    <w:rsid w:val="022420B8"/>
    <w:rsid w:val="02290F96"/>
    <w:rsid w:val="02495121"/>
    <w:rsid w:val="025031C3"/>
    <w:rsid w:val="02CD129D"/>
    <w:rsid w:val="02D66EA3"/>
    <w:rsid w:val="02F774C3"/>
    <w:rsid w:val="03262CF4"/>
    <w:rsid w:val="03266F97"/>
    <w:rsid w:val="03BC5C91"/>
    <w:rsid w:val="03DC3044"/>
    <w:rsid w:val="03EC4414"/>
    <w:rsid w:val="03F03EC4"/>
    <w:rsid w:val="03FE339F"/>
    <w:rsid w:val="040F1F5E"/>
    <w:rsid w:val="04270CE0"/>
    <w:rsid w:val="04570F32"/>
    <w:rsid w:val="047317E4"/>
    <w:rsid w:val="047828C4"/>
    <w:rsid w:val="047C6F5C"/>
    <w:rsid w:val="04C03003"/>
    <w:rsid w:val="04D27A58"/>
    <w:rsid w:val="04D75573"/>
    <w:rsid w:val="04D80504"/>
    <w:rsid w:val="04EC2BD9"/>
    <w:rsid w:val="04ED24C3"/>
    <w:rsid w:val="05420671"/>
    <w:rsid w:val="05452A9D"/>
    <w:rsid w:val="058924C5"/>
    <w:rsid w:val="05A31C3A"/>
    <w:rsid w:val="05CE663A"/>
    <w:rsid w:val="05FA289E"/>
    <w:rsid w:val="063038C2"/>
    <w:rsid w:val="063A64D6"/>
    <w:rsid w:val="06983B04"/>
    <w:rsid w:val="06AC3B04"/>
    <w:rsid w:val="06BC052C"/>
    <w:rsid w:val="06D76082"/>
    <w:rsid w:val="06FF2446"/>
    <w:rsid w:val="07037E47"/>
    <w:rsid w:val="07562814"/>
    <w:rsid w:val="075E61D5"/>
    <w:rsid w:val="077A2866"/>
    <w:rsid w:val="07977B69"/>
    <w:rsid w:val="07A233D4"/>
    <w:rsid w:val="07A70E2B"/>
    <w:rsid w:val="07B36AE6"/>
    <w:rsid w:val="07C20646"/>
    <w:rsid w:val="07C96463"/>
    <w:rsid w:val="07CD09B1"/>
    <w:rsid w:val="07DF7A31"/>
    <w:rsid w:val="07E202C3"/>
    <w:rsid w:val="07E712AF"/>
    <w:rsid w:val="07F207F3"/>
    <w:rsid w:val="08084AE5"/>
    <w:rsid w:val="084A0BAA"/>
    <w:rsid w:val="086C5BC3"/>
    <w:rsid w:val="088268F5"/>
    <w:rsid w:val="088375C7"/>
    <w:rsid w:val="088A7473"/>
    <w:rsid w:val="08A303C2"/>
    <w:rsid w:val="08A67312"/>
    <w:rsid w:val="08E116C2"/>
    <w:rsid w:val="08E2104F"/>
    <w:rsid w:val="08E65984"/>
    <w:rsid w:val="091E32ED"/>
    <w:rsid w:val="092063A9"/>
    <w:rsid w:val="092F693D"/>
    <w:rsid w:val="0939343F"/>
    <w:rsid w:val="093A2655"/>
    <w:rsid w:val="094E3AD7"/>
    <w:rsid w:val="095023A1"/>
    <w:rsid w:val="097444F3"/>
    <w:rsid w:val="09DF66AE"/>
    <w:rsid w:val="09F13C7E"/>
    <w:rsid w:val="09FD3A66"/>
    <w:rsid w:val="0A03101E"/>
    <w:rsid w:val="0A2B3DB3"/>
    <w:rsid w:val="0A3A246F"/>
    <w:rsid w:val="0A467297"/>
    <w:rsid w:val="0A525A7F"/>
    <w:rsid w:val="0A7E4AF0"/>
    <w:rsid w:val="0A7F4748"/>
    <w:rsid w:val="0A8E05F0"/>
    <w:rsid w:val="0A975182"/>
    <w:rsid w:val="0A9C6AE0"/>
    <w:rsid w:val="0AA9626B"/>
    <w:rsid w:val="0AAD02AF"/>
    <w:rsid w:val="0AB34258"/>
    <w:rsid w:val="0AC41B42"/>
    <w:rsid w:val="0ACB2A0E"/>
    <w:rsid w:val="0AEC0F95"/>
    <w:rsid w:val="0AF8222C"/>
    <w:rsid w:val="0B1C186F"/>
    <w:rsid w:val="0B310884"/>
    <w:rsid w:val="0B4823A3"/>
    <w:rsid w:val="0B540468"/>
    <w:rsid w:val="0B5F74DC"/>
    <w:rsid w:val="0B607A09"/>
    <w:rsid w:val="0B8A596F"/>
    <w:rsid w:val="0BA11250"/>
    <w:rsid w:val="0BC1103D"/>
    <w:rsid w:val="0BC7370F"/>
    <w:rsid w:val="0C0718D3"/>
    <w:rsid w:val="0C255325"/>
    <w:rsid w:val="0C2B2EAC"/>
    <w:rsid w:val="0C2B4D7F"/>
    <w:rsid w:val="0C2C1EAC"/>
    <w:rsid w:val="0C327598"/>
    <w:rsid w:val="0C3A59BC"/>
    <w:rsid w:val="0C406A9E"/>
    <w:rsid w:val="0C554AB9"/>
    <w:rsid w:val="0C755E50"/>
    <w:rsid w:val="0C9D77EC"/>
    <w:rsid w:val="0CAB744F"/>
    <w:rsid w:val="0CCD28F2"/>
    <w:rsid w:val="0D0C7359"/>
    <w:rsid w:val="0D1477F7"/>
    <w:rsid w:val="0D91264E"/>
    <w:rsid w:val="0D9B6D93"/>
    <w:rsid w:val="0DA662FB"/>
    <w:rsid w:val="0DA84F60"/>
    <w:rsid w:val="0E0060D1"/>
    <w:rsid w:val="0E047C94"/>
    <w:rsid w:val="0E256AEA"/>
    <w:rsid w:val="0E2F132C"/>
    <w:rsid w:val="0E3A106A"/>
    <w:rsid w:val="0E452639"/>
    <w:rsid w:val="0E605EFA"/>
    <w:rsid w:val="0E7F41CD"/>
    <w:rsid w:val="0E9931EA"/>
    <w:rsid w:val="0EA74232"/>
    <w:rsid w:val="0EB57AE5"/>
    <w:rsid w:val="0EDF1372"/>
    <w:rsid w:val="0F296470"/>
    <w:rsid w:val="0F2A107E"/>
    <w:rsid w:val="0F2A328B"/>
    <w:rsid w:val="0F426EEF"/>
    <w:rsid w:val="0F617A01"/>
    <w:rsid w:val="0F762417"/>
    <w:rsid w:val="0FD609AF"/>
    <w:rsid w:val="100B7E93"/>
    <w:rsid w:val="10375C23"/>
    <w:rsid w:val="10427B1B"/>
    <w:rsid w:val="10572898"/>
    <w:rsid w:val="105D5B36"/>
    <w:rsid w:val="106C3F2B"/>
    <w:rsid w:val="106C4090"/>
    <w:rsid w:val="1075189E"/>
    <w:rsid w:val="10891F7C"/>
    <w:rsid w:val="108B6C4D"/>
    <w:rsid w:val="10B91605"/>
    <w:rsid w:val="10D14C06"/>
    <w:rsid w:val="10E16E2B"/>
    <w:rsid w:val="10F761F9"/>
    <w:rsid w:val="10FE091D"/>
    <w:rsid w:val="11370CCA"/>
    <w:rsid w:val="11470B45"/>
    <w:rsid w:val="116B34F2"/>
    <w:rsid w:val="117A57A7"/>
    <w:rsid w:val="118561BB"/>
    <w:rsid w:val="118A0185"/>
    <w:rsid w:val="118A51F3"/>
    <w:rsid w:val="11AC1894"/>
    <w:rsid w:val="11B93635"/>
    <w:rsid w:val="11BF40BC"/>
    <w:rsid w:val="11C26DB9"/>
    <w:rsid w:val="11EF531D"/>
    <w:rsid w:val="120A2493"/>
    <w:rsid w:val="122E14BC"/>
    <w:rsid w:val="12467A4E"/>
    <w:rsid w:val="124B5643"/>
    <w:rsid w:val="126C3ECC"/>
    <w:rsid w:val="12762BC4"/>
    <w:rsid w:val="12CC3E18"/>
    <w:rsid w:val="12D600C6"/>
    <w:rsid w:val="12F50214"/>
    <w:rsid w:val="12F5173A"/>
    <w:rsid w:val="12FC3268"/>
    <w:rsid w:val="13143BA5"/>
    <w:rsid w:val="131939CF"/>
    <w:rsid w:val="13630747"/>
    <w:rsid w:val="13B42A47"/>
    <w:rsid w:val="13C909E4"/>
    <w:rsid w:val="14176511"/>
    <w:rsid w:val="14186086"/>
    <w:rsid w:val="14541BEB"/>
    <w:rsid w:val="14785290"/>
    <w:rsid w:val="147F1C58"/>
    <w:rsid w:val="14A447A9"/>
    <w:rsid w:val="14B85E1C"/>
    <w:rsid w:val="14FC2FAD"/>
    <w:rsid w:val="15021143"/>
    <w:rsid w:val="150243CC"/>
    <w:rsid w:val="151F4C10"/>
    <w:rsid w:val="153D1EF4"/>
    <w:rsid w:val="155215CF"/>
    <w:rsid w:val="156061C2"/>
    <w:rsid w:val="15645C32"/>
    <w:rsid w:val="157A3E13"/>
    <w:rsid w:val="157D6E62"/>
    <w:rsid w:val="15C717B1"/>
    <w:rsid w:val="15F24CBE"/>
    <w:rsid w:val="162A607A"/>
    <w:rsid w:val="167C274C"/>
    <w:rsid w:val="167C58E7"/>
    <w:rsid w:val="168D11B0"/>
    <w:rsid w:val="16AE21D1"/>
    <w:rsid w:val="173060B1"/>
    <w:rsid w:val="176E2F95"/>
    <w:rsid w:val="177E0C5B"/>
    <w:rsid w:val="178325DC"/>
    <w:rsid w:val="17A62168"/>
    <w:rsid w:val="17B915E5"/>
    <w:rsid w:val="17C558DE"/>
    <w:rsid w:val="17DD42A1"/>
    <w:rsid w:val="17FD6E64"/>
    <w:rsid w:val="18295662"/>
    <w:rsid w:val="186E4708"/>
    <w:rsid w:val="18801975"/>
    <w:rsid w:val="18990B8F"/>
    <w:rsid w:val="18A64D65"/>
    <w:rsid w:val="18BE6177"/>
    <w:rsid w:val="18C534C5"/>
    <w:rsid w:val="18D668F2"/>
    <w:rsid w:val="18D83917"/>
    <w:rsid w:val="18E62143"/>
    <w:rsid w:val="18EB5549"/>
    <w:rsid w:val="18EF27A6"/>
    <w:rsid w:val="192E00A4"/>
    <w:rsid w:val="197208D6"/>
    <w:rsid w:val="197816C6"/>
    <w:rsid w:val="198B5AA1"/>
    <w:rsid w:val="19A1577F"/>
    <w:rsid w:val="19A97AE6"/>
    <w:rsid w:val="19AF5505"/>
    <w:rsid w:val="19B172B0"/>
    <w:rsid w:val="19BB7A58"/>
    <w:rsid w:val="19CA2CBA"/>
    <w:rsid w:val="19F02D21"/>
    <w:rsid w:val="19F25930"/>
    <w:rsid w:val="1A061B39"/>
    <w:rsid w:val="1A310D19"/>
    <w:rsid w:val="1A6C58D7"/>
    <w:rsid w:val="1A717DFA"/>
    <w:rsid w:val="1A871BF5"/>
    <w:rsid w:val="1A931309"/>
    <w:rsid w:val="1A9E6CFF"/>
    <w:rsid w:val="1AA22715"/>
    <w:rsid w:val="1ABC52C1"/>
    <w:rsid w:val="1AE74FC3"/>
    <w:rsid w:val="1B157800"/>
    <w:rsid w:val="1B181E88"/>
    <w:rsid w:val="1B375A60"/>
    <w:rsid w:val="1B5371E6"/>
    <w:rsid w:val="1B563C8B"/>
    <w:rsid w:val="1B851A71"/>
    <w:rsid w:val="1B8D1ECF"/>
    <w:rsid w:val="1B9E085D"/>
    <w:rsid w:val="1BAD6D74"/>
    <w:rsid w:val="1BB81358"/>
    <w:rsid w:val="1BDF301F"/>
    <w:rsid w:val="1BE0332E"/>
    <w:rsid w:val="1BFA486B"/>
    <w:rsid w:val="1C074A57"/>
    <w:rsid w:val="1C171264"/>
    <w:rsid w:val="1C393128"/>
    <w:rsid w:val="1C4541B2"/>
    <w:rsid w:val="1C716B7F"/>
    <w:rsid w:val="1CB96E77"/>
    <w:rsid w:val="1CC96D99"/>
    <w:rsid w:val="1D0576E4"/>
    <w:rsid w:val="1D266DAA"/>
    <w:rsid w:val="1D2A358D"/>
    <w:rsid w:val="1D322A1F"/>
    <w:rsid w:val="1D504783"/>
    <w:rsid w:val="1D62799E"/>
    <w:rsid w:val="1D904D23"/>
    <w:rsid w:val="1D9557EC"/>
    <w:rsid w:val="1DBE3A99"/>
    <w:rsid w:val="1DBE63AE"/>
    <w:rsid w:val="1DCE6458"/>
    <w:rsid w:val="1DFF5A13"/>
    <w:rsid w:val="1E271DC4"/>
    <w:rsid w:val="1E317B4C"/>
    <w:rsid w:val="1E360F16"/>
    <w:rsid w:val="1E366F90"/>
    <w:rsid w:val="1E4351AC"/>
    <w:rsid w:val="1E6E4FAA"/>
    <w:rsid w:val="1E876266"/>
    <w:rsid w:val="1E886363"/>
    <w:rsid w:val="1E9E5254"/>
    <w:rsid w:val="1EAB2076"/>
    <w:rsid w:val="1EEE7465"/>
    <w:rsid w:val="1EFA001C"/>
    <w:rsid w:val="1F177E81"/>
    <w:rsid w:val="1F4A6BA0"/>
    <w:rsid w:val="1F4F68AA"/>
    <w:rsid w:val="1F80626C"/>
    <w:rsid w:val="1F8C136B"/>
    <w:rsid w:val="1F9028EC"/>
    <w:rsid w:val="1F980616"/>
    <w:rsid w:val="1FDB1D47"/>
    <w:rsid w:val="1FF367D9"/>
    <w:rsid w:val="1FF67B60"/>
    <w:rsid w:val="20022391"/>
    <w:rsid w:val="203977B4"/>
    <w:rsid w:val="20486159"/>
    <w:rsid w:val="204D2970"/>
    <w:rsid w:val="2058796C"/>
    <w:rsid w:val="20617B57"/>
    <w:rsid w:val="20753342"/>
    <w:rsid w:val="20A67E24"/>
    <w:rsid w:val="20C153D0"/>
    <w:rsid w:val="20C55A9E"/>
    <w:rsid w:val="210164A4"/>
    <w:rsid w:val="2114673C"/>
    <w:rsid w:val="21252368"/>
    <w:rsid w:val="213643DE"/>
    <w:rsid w:val="21367C3D"/>
    <w:rsid w:val="217025EF"/>
    <w:rsid w:val="217C5805"/>
    <w:rsid w:val="21B33389"/>
    <w:rsid w:val="21C001DD"/>
    <w:rsid w:val="21D015D0"/>
    <w:rsid w:val="21F20429"/>
    <w:rsid w:val="21F425AD"/>
    <w:rsid w:val="2208754C"/>
    <w:rsid w:val="22101E76"/>
    <w:rsid w:val="22125E2F"/>
    <w:rsid w:val="222338BC"/>
    <w:rsid w:val="222F6313"/>
    <w:rsid w:val="2243299C"/>
    <w:rsid w:val="22590F61"/>
    <w:rsid w:val="226C2101"/>
    <w:rsid w:val="227A7889"/>
    <w:rsid w:val="22896558"/>
    <w:rsid w:val="229275EB"/>
    <w:rsid w:val="22BC492B"/>
    <w:rsid w:val="22C91DA7"/>
    <w:rsid w:val="22F8596C"/>
    <w:rsid w:val="23165882"/>
    <w:rsid w:val="231E5D28"/>
    <w:rsid w:val="23263B44"/>
    <w:rsid w:val="234C3640"/>
    <w:rsid w:val="23614B14"/>
    <w:rsid w:val="23640167"/>
    <w:rsid w:val="236952CA"/>
    <w:rsid w:val="239A6C81"/>
    <w:rsid w:val="23E42CB5"/>
    <w:rsid w:val="23ED7905"/>
    <w:rsid w:val="24096641"/>
    <w:rsid w:val="240A1968"/>
    <w:rsid w:val="240B100D"/>
    <w:rsid w:val="241203DE"/>
    <w:rsid w:val="24460BC4"/>
    <w:rsid w:val="24755B9B"/>
    <w:rsid w:val="247D44EB"/>
    <w:rsid w:val="249F32B9"/>
    <w:rsid w:val="24A7102C"/>
    <w:rsid w:val="24A81E14"/>
    <w:rsid w:val="24AE1BD1"/>
    <w:rsid w:val="24FA5DFE"/>
    <w:rsid w:val="250D76CE"/>
    <w:rsid w:val="25101B9D"/>
    <w:rsid w:val="2518260E"/>
    <w:rsid w:val="25244A0F"/>
    <w:rsid w:val="252F60B1"/>
    <w:rsid w:val="25536A7D"/>
    <w:rsid w:val="255E7BDC"/>
    <w:rsid w:val="25724A0E"/>
    <w:rsid w:val="25C74FCD"/>
    <w:rsid w:val="25EE33E2"/>
    <w:rsid w:val="25EE5437"/>
    <w:rsid w:val="25EF466D"/>
    <w:rsid w:val="26024160"/>
    <w:rsid w:val="260A745E"/>
    <w:rsid w:val="266A3D98"/>
    <w:rsid w:val="267F1B1B"/>
    <w:rsid w:val="26820248"/>
    <w:rsid w:val="268617B5"/>
    <w:rsid w:val="2689680E"/>
    <w:rsid w:val="26B157ED"/>
    <w:rsid w:val="26D73D51"/>
    <w:rsid w:val="26EF1F9E"/>
    <w:rsid w:val="271D65B6"/>
    <w:rsid w:val="272462EA"/>
    <w:rsid w:val="27263D5C"/>
    <w:rsid w:val="2730553E"/>
    <w:rsid w:val="273C3FD6"/>
    <w:rsid w:val="27485344"/>
    <w:rsid w:val="27B05249"/>
    <w:rsid w:val="27C53603"/>
    <w:rsid w:val="27D30550"/>
    <w:rsid w:val="27DC4C38"/>
    <w:rsid w:val="27F274E7"/>
    <w:rsid w:val="27F70A59"/>
    <w:rsid w:val="282E0991"/>
    <w:rsid w:val="282F012D"/>
    <w:rsid w:val="2832511C"/>
    <w:rsid w:val="283A2135"/>
    <w:rsid w:val="286767EB"/>
    <w:rsid w:val="2874455D"/>
    <w:rsid w:val="2888469D"/>
    <w:rsid w:val="28B542BA"/>
    <w:rsid w:val="28C42260"/>
    <w:rsid w:val="291B54BF"/>
    <w:rsid w:val="292228DF"/>
    <w:rsid w:val="29415AB7"/>
    <w:rsid w:val="297231E6"/>
    <w:rsid w:val="29796C67"/>
    <w:rsid w:val="298D533B"/>
    <w:rsid w:val="29924973"/>
    <w:rsid w:val="29E96945"/>
    <w:rsid w:val="29ED6A12"/>
    <w:rsid w:val="29FB3EE4"/>
    <w:rsid w:val="2A174549"/>
    <w:rsid w:val="2A274DDE"/>
    <w:rsid w:val="2A307D03"/>
    <w:rsid w:val="2A3B2D86"/>
    <w:rsid w:val="2A713419"/>
    <w:rsid w:val="2AAD1E82"/>
    <w:rsid w:val="2AB74EB8"/>
    <w:rsid w:val="2AD5441C"/>
    <w:rsid w:val="2AE41013"/>
    <w:rsid w:val="2B32250E"/>
    <w:rsid w:val="2B404BD3"/>
    <w:rsid w:val="2B4A4F1E"/>
    <w:rsid w:val="2B527C32"/>
    <w:rsid w:val="2B841B38"/>
    <w:rsid w:val="2B877264"/>
    <w:rsid w:val="2B882343"/>
    <w:rsid w:val="2B9A28A0"/>
    <w:rsid w:val="2B9C0626"/>
    <w:rsid w:val="2BAB6A65"/>
    <w:rsid w:val="2BE93056"/>
    <w:rsid w:val="2BFB4DE5"/>
    <w:rsid w:val="2BFC52FD"/>
    <w:rsid w:val="2C3534DE"/>
    <w:rsid w:val="2C561BE1"/>
    <w:rsid w:val="2C750ED0"/>
    <w:rsid w:val="2C850CE0"/>
    <w:rsid w:val="2CA34AD0"/>
    <w:rsid w:val="2CBD3D73"/>
    <w:rsid w:val="2CED2FEE"/>
    <w:rsid w:val="2CED4257"/>
    <w:rsid w:val="2D274BE6"/>
    <w:rsid w:val="2D4C5021"/>
    <w:rsid w:val="2D791D9B"/>
    <w:rsid w:val="2DA32263"/>
    <w:rsid w:val="2DA90E05"/>
    <w:rsid w:val="2DB70A6A"/>
    <w:rsid w:val="2DFF06FC"/>
    <w:rsid w:val="2E34598A"/>
    <w:rsid w:val="2E407D8B"/>
    <w:rsid w:val="2E4A72FB"/>
    <w:rsid w:val="2E635D95"/>
    <w:rsid w:val="2E7A464E"/>
    <w:rsid w:val="2E94292F"/>
    <w:rsid w:val="2E9F65F8"/>
    <w:rsid w:val="2EC26110"/>
    <w:rsid w:val="2EE10066"/>
    <w:rsid w:val="2F3103C9"/>
    <w:rsid w:val="2F98692F"/>
    <w:rsid w:val="2FC36ED1"/>
    <w:rsid w:val="2FD83496"/>
    <w:rsid w:val="30436EB9"/>
    <w:rsid w:val="30767271"/>
    <w:rsid w:val="309C1C7F"/>
    <w:rsid w:val="30B502D2"/>
    <w:rsid w:val="311C7E80"/>
    <w:rsid w:val="315C063E"/>
    <w:rsid w:val="31B9243F"/>
    <w:rsid w:val="31CE54E9"/>
    <w:rsid w:val="31E00AE1"/>
    <w:rsid w:val="31E91179"/>
    <w:rsid w:val="31EB4A28"/>
    <w:rsid w:val="32117713"/>
    <w:rsid w:val="321F2754"/>
    <w:rsid w:val="32587E61"/>
    <w:rsid w:val="325D17CC"/>
    <w:rsid w:val="327E7916"/>
    <w:rsid w:val="328E48C0"/>
    <w:rsid w:val="329B4865"/>
    <w:rsid w:val="32AA4FB4"/>
    <w:rsid w:val="32BE7393"/>
    <w:rsid w:val="33255888"/>
    <w:rsid w:val="332911B4"/>
    <w:rsid w:val="333B7A0C"/>
    <w:rsid w:val="33436406"/>
    <w:rsid w:val="334C5BC1"/>
    <w:rsid w:val="33723A7A"/>
    <w:rsid w:val="33743024"/>
    <w:rsid w:val="33797F31"/>
    <w:rsid w:val="33E34E7B"/>
    <w:rsid w:val="33F830DB"/>
    <w:rsid w:val="34441AAC"/>
    <w:rsid w:val="34461152"/>
    <w:rsid w:val="345C377B"/>
    <w:rsid w:val="346F54CF"/>
    <w:rsid w:val="347E2F32"/>
    <w:rsid w:val="34A6656F"/>
    <w:rsid w:val="34E2728C"/>
    <w:rsid w:val="34F73215"/>
    <w:rsid w:val="34FD604B"/>
    <w:rsid w:val="34FF0ED8"/>
    <w:rsid w:val="35230C72"/>
    <w:rsid w:val="352E53F4"/>
    <w:rsid w:val="352F1301"/>
    <w:rsid w:val="35514B9C"/>
    <w:rsid w:val="35850ED4"/>
    <w:rsid w:val="35993B16"/>
    <w:rsid w:val="35C97FD6"/>
    <w:rsid w:val="35E86C9E"/>
    <w:rsid w:val="35EB6A45"/>
    <w:rsid w:val="36164744"/>
    <w:rsid w:val="362A31A3"/>
    <w:rsid w:val="363847E1"/>
    <w:rsid w:val="364863FF"/>
    <w:rsid w:val="36936809"/>
    <w:rsid w:val="369A375C"/>
    <w:rsid w:val="36AF0119"/>
    <w:rsid w:val="36E26C3F"/>
    <w:rsid w:val="37056DA5"/>
    <w:rsid w:val="371A75EA"/>
    <w:rsid w:val="376C2FE3"/>
    <w:rsid w:val="379D76A3"/>
    <w:rsid w:val="37BA0822"/>
    <w:rsid w:val="37C81087"/>
    <w:rsid w:val="37D02D91"/>
    <w:rsid w:val="37D84853"/>
    <w:rsid w:val="37F27C4B"/>
    <w:rsid w:val="380172E8"/>
    <w:rsid w:val="380A01F7"/>
    <w:rsid w:val="38130220"/>
    <w:rsid w:val="38270790"/>
    <w:rsid w:val="38581350"/>
    <w:rsid w:val="388A1AD3"/>
    <w:rsid w:val="388B3ECE"/>
    <w:rsid w:val="3897664D"/>
    <w:rsid w:val="38B70DC9"/>
    <w:rsid w:val="38D51911"/>
    <w:rsid w:val="38D66752"/>
    <w:rsid w:val="38EA3EA7"/>
    <w:rsid w:val="38F00296"/>
    <w:rsid w:val="38F55A02"/>
    <w:rsid w:val="391C6E1C"/>
    <w:rsid w:val="392C4186"/>
    <w:rsid w:val="394F4AB6"/>
    <w:rsid w:val="397302F6"/>
    <w:rsid w:val="398606BF"/>
    <w:rsid w:val="39D609D9"/>
    <w:rsid w:val="39D97ED4"/>
    <w:rsid w:val="39DE0BDF"/>
    <w:rsid w:val="39EA7148"/>
    <w:rsid w:val="3A463B0C"/>
    <w:rsid w:val="3A6467EF"/>
    <w:rsid w:val="3A652672"/>
    <w:rsid w:val="3A7F268E"/>
    <w:rsid w:val="3A884D17"/>
    <w:rsid w:val="3A940AC9"/>
    <w:rsid w:val="3A9F232A"/>
    <w:rsid w:val="3AA769C6"/>
    <w:rsid w:val="3AA90A1F"/>
    <w:rsid w:val="3AAD3806"/>
    <w:rsid w:val="3AC84458"/>
    <w:rsid w:val="3AC95195"/>
    <w:rsid w:val="3AFC4EA5"/>
    <w:rsid w:val="3B0423E2"/>
    <w:rsid w:val="3B306473"/>
    <w:rsid w:val="3B795996"/>
    <w:rsid w:val="3B947851"/>
    <w:rsid w:val="3BB619B6"/>
    <w:rsid w:val="3BB94BC7"/>
    <w:rsid w:val="3BC65C8C"/>
    <w:rsid w:val="3BD23312"/>
    <w:rsid w:val="3BE563E7"/>
    <w:rsid w:val="3BE8271E"/>
    <w:rsid w:val="3C1E0D64"/>
    <w:rsid w:val="3C34449F"/>
    <w:rsid w:val="3C64605E"/>
    <w:rsid w:val="3C7416FD"/>
    <w:rsid w:val="3C9A45AD"/>
    <w:rsid w:val="3CCF0C78"/>
    <w:rsid w:val="3CE968D7"/>
    <w:rsid w:val="3D064060"/>
    <w:rsid w:val="3D1324C8"/>
    <w:rsid w:val="3D283B87"/>
    <w:rsid w:val="3D2C48E9"/>
    <w:rsid w:val="3D600E52"/>
    <w:rsid w:val="3D994516"/>
    <w:rsid w:val="3DA43544"/>
    <w:rsid w:val="3DAC1986"/>
    <w:rsid w:val="3DAD2F7B"/>
    <w:rsid w:val="3DC56AE3"/>
    <w:rsid w:val="3DE34DD4"/>
    <w:rsid w:val="3DE61152"/>
    <w:rsid w:val="3DF35937"/>
    <w:rsid w:val="3DF720F7"/>
    <w:rsid w:val="3E447306"/>
    <w:rsid w:val="3E493CF4"/>
    <w:rsid w:val="3E5F03CA"/>
    <w:rsid w:val="3E6B7ABC"/>
    <w:rsid w:val="3E70059C"/>
    <w:rsid w:val="3E9038CD"/>
    <w:rsid w:val="3E9A6AAB"/>
    <w:rsid w:val="3EA01C0F"/>
    <w:rsid w:val="3EC109FA"/>
    <w:rsid w:val="3EC54431"/>
    <w:rsid w:val="3ECA405B"/>
    <w:rsid w:val="3ECC3199"/>
    <w:rsid w:val="3ED54CEA"/>
    <w:rsid w:val="3F145930"/>
    <w:rsid w:val="3F9C5FDC"/>
    <w:rsid w:val="3FF30D52"/>
    <w:rsid w:val="3FFB1660"/>
    <w:rsid w:val="4011508E"/>
    <w:rsid w:val="4020664C"/>
    <w:rsid w:val="402F0684"/>
    <w:rsid w:val="40333AF1"/>
    <w:rsid w:val="40586A72"/>
    <w:rsid w:val="408C0CD2"/>
    <w:rsid w:val="409100DB"/>
    <w:rsid w:val="409D4225"/>
    <w:rsid w:val="40EE073B"/>
    <w:rsid w:val="4122239F"/>
    <w:rsid w:val="41937CA8"/>
    <w:rsid w:val="41A76F2A"/>
    <w:rsid w:val="41DF2917"/>
    <w:rsid w:val="41F21B04"/>
    <w:rsid w:val="41FC5E9A"/>
    <w:rsid w:val="420379F6"/>
    <w:rsid w:val="424701E9"/>
    <w:rsid w:val="4252104B"/>
    <w:rsid w:val="425E6129"/>
    <w:rsid w:val="42636EFE"/>
    <w:rsid w:val="426D6056"/>
    <w:rsid w:val="42784882"/>
    <w:rsid w:val="428869D7"/>
    <w:rsid w:val="42B84A79"/>
    <w:rsid w:val="42D456D0"/>
    <w:rsid w:val="42D80238"/>
    <w:rsid w:val="435D176B"/>
    <w:rsid w:val="435D4DA0"/>
    <w:rsid w:val="4367566B"/>
    <w:rsid w:val="436F11D2"/>
    <w:rsid w:val="437607E3"/>
    <w:rsid w:val="439C27ED"/>
    <w:rsid w:val="43E03C75"/>
    <w:rsid w:val="440E0D9C"/>
    <w:rsid w:val="44185252"/>
    <w:rsid w:val="441A63F4"/>
    <w:rsid w:val="443828FD"/>
    <w:rsid w:val="443F520E"/>
    <w:rsid w:val="44460D37"/>
    <w:rsid w:val="44824ED2"/>
    <w:rsid w:val="44995F1F"/>
    <w:rsid w:val="44AD1AD3"/>
    <w:rsid w:val="44BF3DD2"/>
    <w:rsid w:val="44CF43A2"/>
    <w:rsid w:val="44F65000"/>
    <w:rsid w:val="4501254C"/>
    <w:rsid w:val="45146525"/>
    <w:rsid w:val="452E657C"/>
    <w:rsid w:val="452F5C17"/>
    <w:rsid w:val="45466C5E"/>
    <w:rsid w:val="457A6E91"/>
    <w:rsid w:val="457E4B2B"/>
    <w:rsid w:val="45910B95"/>
    <w:rsid w:val="459322B1"/>
    <w:rsid w:val="45A35131"/>
    <w:rsid w:val="45F81F75"/>
    <w:rsid w:val="46327758"/>
    <w:rsid w:val="465501DD"/>
    <w:rsid w:val="465A4978"/>
    <w:rsid w:val="4679257E"/>
    <w:rsid w:val="469D2715"/>
    <w:rsid w:val="46EA0DEA"/>
    <w:rsid w:val="46ED3AC3"/>
    <w:rsid w:val="46FB1156"/>
    <w:rsid w:val="47176C7B"/>
    <w:rsid w:val="47177A9A"/>
    <w:rsid w:val="479A7E87"/>
    <w:rsid w:val="479B4011"/>
    <w:rsid w:val="47A97CB5"/>
    <w:rsid w:val="47C941A0"/>
    <w:rsid w:val="47CA5DAA"/>
    <w:rsid w:val="47E065D6"/>
    <w:rsid w:val="47FF07B5"/>
    <w:rsid w:val="48070FE4"/>
    <w:rsid w:val="480A1B62"/>
    <w:rsid w:val="481D332D"/>
    <w:rsid w:val="48326297"/>
    <w:rsid w:val="484E0291"/>
    <w:rsid w:val="48504583"/>
    <w:rsid w:val="485E6B53"/>
    <w:rsid w:val="485E7E63"/>
    <w:rsid w:val="485F2587"/>
    <w:rsid w:val="4899766B"/>
    <w:rsid w:val="48CA00E0"/>
    <w:rsid w:val="48CD7C66"/>
    <w:rsid w:val="49000F17"/>
    <w:rsid w:val="491A1237"/>
    <w:rsid w:val="491D69BC"/>
    <w:rsid w:val="491F41C3"/>
    <w:rsid w:val="492141E1"/>
    <w:rsid w:val="4946263E"/>
    <w:rsid w:val="496C48F2"/>
    <w:rsid w:val="498978C0"/>
    <w:rsid w:val="49B35407"/>
    <w:rsid w:val="49B42971"/>
    <w:rsid w:val="49DB4B0D"/>
    <w:rsid w:val="49F00DDF"/>
    <w:rsid w:val="49F2698F"/>
    <w:rsid w:val="4A4B74E4"/>
    <w:rsid w:val="4A513ED1"/>
    <w:rsid w:val="4A52198D"/>
    <w:rsid w:val="4A760669"/>
    <w:rsid w:val="4A7E4490"/>
    <w:rsid w:val="4ACC6BF5"/>
    <w:rsid w:val="4AE3531E"/>
    <w:rsid w:val="4B037742"/>
    <w:rsid w:val="4B293984"/>
    <w:rsid w:val="4B430D4E"/>
    <w:rsid w:val="4B496B77"/>
    <w:rsid w:val="4B9869CC"/>
    <w:rsid w:val="4B9F60DD"/>
    <w:rsid w:val="4BB34C37"/>
    <w:rsid w:val="4BD200DA"/>
    <w:rsid w:val="4BD65DDB"/>
    <w:rsid w:val="4BEE07E7"/>
    <w:rsid w:val="4BF16EDB"/>
    <w:rsid w:val="4C022B9D"/>
    <w:rsid w:val="4C5C11AF"/>
    <w:rsid w:val="4C7858CC"/>
    <w:rsid w:val="4C860252"/>
    <w:rsid w:val="4CAF19B6"/>
    <w:rsid w:val="4CC63502"/>
    <w:rsid w:val="4D6A7E4C"/>
    <w:rsid w:val="4D760F43"/>
    <w:rsid w:val="4D79737F"/>
    <w:rsid w:val="4DF54B8E"/>
    <w:rsid w:val="4DF772AC"/>
    <w:rsid w:val="4DFC2CFE"/>
    <w:rsid w:val="4E2150D0"/>
    <w:rsid w:val="4E5C7B7E"/>
    <w:rsid w:val="4E6E275B"/>
    <w:rsid w:val="4E866F98"/>
    <w:rsid w:val="4EA20389"/>
    <w:rsid w:val="4EBC3FE0"/>
    <w:rsid w:val="4ED80CAB"/>
    <w:rsid w:val="4EDC0D57"/>
    <w:rsid w:val="4EF265CC"/>
    <w:rsid w:val="4F1A0C4A"/>
    <w:rsid w:val="4F525E5C"/>
    <w:rsid w:val="4F535B2B"/>
    <w:rsid w:val="4F861AE4"/>
    <w:rsid w:val="4F996E7D"/>
    <w:rsid w:val="4FA70D98"/>
    <w:rsid w:val="4FA93E58"/>
    <w:rsid w:val="4FB6292A"/>
    <w:rsid w:val="4FBA4DBD"/>
    <w:rsid w:val="4FC75912"/>
    <w:rsid w:val="4FCF3765"/>
    <w:rsid w:val="4FD7551F"/>
    <w:rsid w:val="4FD96E02"/>
    <w:rsid w:val="4FE5053D"/>
    <w:rsid w:val="4FE81555"/>
    <w:rsid w:val="4FE958B4"/>
    <w:rsid w:val="4FFE48A4"/>
    <w:rsid w:val="500A5320"/>
    <w:rsid w:val="500B6F6B"/>
    <w:rsid w:val="500F143F"/>
    <w:rsid w:val="501B580C"/>
    <w:rsid w:val="502B711F"/>
    <w:rsid w:val="503127AF"/>
    <w:rsid w:val="50524480"/>
    <w:rsid w:val="50642B4F"/>
    <w:rsid w:val="506F5177"/>
    <w:rsid w:val="507E4896"/>
    <w:rsid w:val="5087414E"/>
    <w:rsid w:val="50AC5017"/>
    <w:rsid w:val="50AD7178"/>
    <w:rsid w:val="50C22724"/>
    <w:rsid w:val="50C6720F"/>
    <w:rsid w:val="50F97013"/>
    <w:rsid w:val="51115B98"/>
    <w:rsid w:val="51163DAD"/>
    <w:rsid w:val="513537F9"/>
    <w:rsid w:val="514D2AF3"/>
    <w:rsid w:val="51A24F41"/>
    <w:rsid w:val="51AF014C"/>
    <w:rsid w:val="51B43952"/>
    <w:rsid w:val="51CE1BF2"/>
    <w:rsid w:val="523A3E36"/>
    <w:rsid w:val="527C4550"/>
    <w:rsid w:val="52980CEE"/>
    <w:rsid w:val="529A18DC"/>
    <w:rsid w:val="52A01A3B"/>
    <w:rsid w:val="52A90DC8"/>
    <w:rsid w:val="52BC3C49"/>
    <w:rsid w:val="52C06EEF"/>
    <w:rsid w:val="52CD542D"/>
    <w:rsid w:val="52DF66C6"/>
    <w:rsid w:val="52E3534F"/>
    <w:rsid w:val="52EB5D72"/>
    <w:rsid w:val="53006DFF"/>
    <w:rsid w:val="532D41C8"/>
    <w:rsid w:val="533206E0"/>
    <w:rsid w:val="533D4951"/>
    <w:rsid w:val="536617B1"/>
    <w:rsid w:val="5369439D"/>
    <w:rsid w:val="53852663"/>
    <w:rsid w:val="53B06CE7"/>
    <w:rsid w:val="53BA3E74"/>
    <w:rsid w:val="53C02050"/>
    <w:rsid w:val="53EF3803"/>
    <w:rsid w:val="542C53A1"/>
    <w:rsid w:val="543A3AFE"/>
    <w:rsid w:val="54514364"/>
    <w:rsid w:val="547401AB"/>
    <w:rsid w:val="547463BD"/>
    <w:rsid w:val="548638CF"/>
    <w:rsid w:val="54BF5868"/>
    <w:rsid w:val="54DF7536"/>
    <w:rsid w:val="54FD290C"/>
    <w:rsid w:val="551427E7"/>
    <w:rsid w:val="5514527B"/>
    <w:rsid w:val="55334053"/>
    <w:rsid w:val="558F66A6"/>
    <w:rsid w:val="55925463"/>
    <w:rsid w:val="55CC6E05"/>
    <w:rsid w:val="55DA04E2"/>
    <w:rsid w:val="55EF53E7"/>
    <w:rsid w:val="55F54DB9"/>
    <w:rsid w:val="55FE68AD"/>
    <w:rsid w:val="5606636E"/>
    <w:rsid w:val="5617382C"/>
    <w:rsid w:val="56177A25"/>
    <w:rsid w:val="56243251"/>
    <w:rsid w:val="562A1429"/>
    <w:rsid w:val="567957BA"/>
    <w:rsid w:val="569A25B9"/>
    <w:rsid w:val="56B0266D"/>
    <w:rsid w:val="56BF0DE9"/>
    <w:rsid w:val="56C06F9F"/>
    <w:rsid w:val="56D65A92"/>
    <w:rsid w:val="56EC7DC9"/>
    <w:rsid w:val="56F16AD4"/>
    <w:rsid w:val="57150393"/>
    <w:rsid w:val="573B60FF"/>
    <w:rsid w:val="577D3B58"/>
    <w:rsid w:val="57B6701F"/>
    <w:rsid w:val="57BB4CF0"/>
    <w:rsid w:val="57BE089C"/>
    <w:rsid w:val="57C03CCB"/>
    <w:rsid w:val="57E7300C"/>
    <w:rsid w:val="57ED5563"/>
    <w:rsid w:val="57F71DBF"/>
    <w:rsid w:val="57FFE800"/>
    <w:rsid w:val="583B3071"/>
    <w:rsid w:val="5854389B"/>
    <w:rsid w:val="586869DB"/>
    <w:rsid w:val="58701521"/>
    <w:rsid w:val="58755269"/>
    <w:rsid w:val="58782729"/>
    <w:rsid w:val="58791FAA"/>
    <w:rsid w:val="587F2709"/>
    <w:rsid w:val="58A07875"/>
    <w:rsid w:val="58B72276"/>
    <w:rsid w:val="58D30499"/>
    <w:rsid w:val="58FB208E"/>
    <w:rsid w:val="59063F8A"/>
    <w:rsid w:val="59080AD8"/>
    <w:rsid w:val="59346685"/>
    <w:rsid w:val="593B0F62"/>
    <w:rsid w:val="59437F18"/>
    <w:rsid w:val="595171A2"/>
    <w:rsid w:val="59525AF5"/>
    <w:rsid w:val="5971386F"/>
    <w:rsid w:val="59C57821"/>
    <w:rsid w:val="59CE69F6"/>
    <w:rsid w:val="59E41162"/>
    <w:rsid w:val="59ED6C6E"/>
    <w:rsid w:val="5A34787A"/>
    <w:rsid w:val="5A431C99"/>
    <w:rsid w:val="5A47471A"/>
    <w:rsid w:val="5A603568"/>
    <w:rsid w:val="5A633410"/>
    <w:rsid w:val="5A6A2597"/>
    <w:rsid w:val="5A914CB7"/>
    <w:rsid w:val="5AAD4EBC"/>
    <w:rsid w:val="5AD2509A"/>
    <w:rsid w:val="5AF91D4D"/>
    <w:rsid w:val="5B484FBC"/>
    <w:rsid w:val="5B4E5754"/>
    <w:rsid w:val="5B5272FC"/>
    <w:rsid w:val="5B733AA7"/>
    <w:rsid w:val="5B9E08BC"/>
    <w:rsid w:val="5BAB521B"/>
    <w:rsid w:val="5BB05D03"/>
    <w:rsid w:val="5BBE4148"/>
    <w:rsid w:val="5BE13FF9"/>
    <w:rsid w:val="5C0E3BA5"/>
    <w:rsid w:val="5C182A14"/>
    <w:rsid w:val="5C2A7703"/>
    <w:rsid w:val="5C540345"/>
    <w:rsid w:val="5C5F73F7"/>
    <w:rsid w:val="5CC959B4"/>
    <w:rsid w:val="5CCD0EED"/>
    <w:rsid w:val="5CDC4CAA"/>
    <w:rsid w:val="5CE46883"/>
    <w:rsid w:val="5D0F30D2"/>
    <w:rsid w:val="5D1406D4"/>
    <w:rsid w:val="5D3007A7"/>
    <w:rsid w:val="5D3F6C6F"/>
    <w:rsid w:val="5D461ED9"/>
    <w:rsid w:val="5D4C0562"/>
    <w:rsid w:val="5D6A2557"/>
    <w:rsid w:val="5D8533A3"/>
    <w:rsid w:val="5D890B34"/>
    <w:rsid w:val="5D9510CA"/>
    <w:rsid w:val="5DF64643"/>
    <w:rsid w:val="5E1A1D7E"/>
    <w:rsid w:val="5E206C7A"/>
    <w:rsid w:val="5E4339A8"/>
    <w:rsid w:val="5E79093B"/>
    <w:rsid w:val="5E821CE9"/>
    <w:rsid w:val="5E8D1C5E"/>
    <w:rsid w:val="5E9E2C8C"/>
    <w:rsid w:val="5ED506BB"/>
    <w:rsid w:val="5EE96DAE"/>
    <w:rsid w:val="5F4E7745"/>
    <w:rsid w:val="5F531DC5"/>
    <w:rsid w:val="5F6C4BF0"/>
    <w:rsid w:val="5F932771"/>
    <w:rsid w:val="5FB37240"/>
    <w:rsid w:val="5FCD1D80"/>
    <w:rsid w:val="5FFD6627"/>
    <w:rsid w:val="601752B8"/>
    <w:rsid w:val="604928F2"/>
    <w:rsid w:val="604E6181"/>
    <w:rsid w:val="60541DE7"/>
    <w:rsid w:val="60554F54"/>
    <w:rsid w:val="607C4D33"/>
    <w:rsid w:val="60A21C0C"/>
    <w:rsid w:val="60A311CC"/>
    <w:rsid w:val="60D37996"/>
    <w:rsid w:val="60D5415D"/>
    <w:rsid w:val="610F67A8"/>
    <w:rsid w:val="61665FE4"/>
    <w:rsid w:val="619B2A61"/>
    <w:rsid w:val="61A2194F"/>
    <w:rsid w:val="61A94762"/>
    <w:rsid w:val="61BD6475"/>
    <w:rsid w:val="61CC1D93"/>
    <w:rsid w:val="61D540AD"/>
    <w:rsid w:val="61DA6F97"/>
    <w:rsid w:val="61E406D4"/>
    <w:rsid w:val="62185125"/>
    <w:rsid w:val="62264CEB"/>
    <w:rsid w:val="624A2403"/>
    <w:rsid w:val="624B7FA7"/>
    <w:rsid w:val="625A5815"/>
    <w:rsid w:val="627818C7"/>
    <w:rsid w:val="62831C0B"/>
    <w:rsid w:val="62AF7275"/>
    <w:rsid w:val="62D53539"/>
    <w:rsid w:val="630D3275"/>
    <w:rsid w:val="63144A4C"/>
    <w:rsid w:val="63614C44"/>
    <w:rsid w:val="63815A48"/>
    <w:rsid w:val="63874398"/>
    <w:rsid w:val="63B12A33"/>
    <w:rsid w:val="63D06D6E"/>
    <w:rsid w:val="6419781C"/>
    <w:rsid w:val="641C6C0A"/>
    <w:rsid w:val="64351580"/>
    <w:rsid w:val="64466BCF"/>
    <w:rsid w:val="644677F3"/>
    <w:rsid w:val="644A0B60"/>
    <w:rsid w:val="644A6ADF"/>
    <w:rsid w:val="649371A4"/>
    <w:rsid w:val="649E4B98"/>
    <w:rsid w:val="64A87742"/>
    <w:rsid w:val="64BC57D3"/>
    <w:rsid w:val="64D22907"/>
    <w:rsid w:val="65052E01"/>
    <w:rsid w:val="65177B06"/>
    <w:rsid w:val="65637973"/>
    <w:rsid w:val="65704EFC"/>
    <w:rsid w:val="65765849"/>
    <w:rsid w:val="65864566"/>
    <w:rsid w:val="658C011D"/>
    <w:rsid w:val="659077CB"/>
    <w:rsid w:val="6592671A"/>
    <w:rsid w:val="65EF0A02"/>
    <w:rsid w:val="66206725"/>
    <w:rsid w:val="66386288"/>
    <w:rsid w:val="667F405E"/>
    <w:rsid w:val="66D753D1"/>
    <w:rsid w:val="66EA60A6"/>
    <w:rsid w:val="67083C29"/>
    <w:rsid w:val="672F4239"/>
    <w:rsid w:val="676059A1"/>
    <w:rsid w:val="67637EE2"/>
    <w:rsid w:val="67740309"/>
    <w:rsid w:val="67B97B94"/>
    <w:rsid w:val="67C91BF0"/>
    <w:rsid w:val="67D30DEE"/>
    <w:rsid w:val="67DD6F06"/>
    <w:rsid w:val="67E70F9C"/>
    <w:rsid w:val="67F94151"/>
    <w:rsid w:val="68102471"/>
    <w:rsid w:val="6828246D"/>
    <w:rsid w:val="686A680B"/>
    <w:rsid w:val="686C00D5"/>
    <w:rsid w:val="69067343"/>
    <w:rsid w:val="69134F50"/>
    <w:rsid w:val="69695D5F"/>
    <w:rsid w:val="69717AE7"/>
    <w:rsid w:val="69A35F93"/>
    <w:rsid w:val="69AD58D3"/>
    <w:rsid w:val="69B740CB"/>
    <w:rsid w:val="69BE5B5A"/>
    <w:rsid w:val="69FB1BEC"/>
    <w:rsid w:val="6A527A25"/>
    <w:rsid w:val="6A5B5533"/>
    <w:rsid w:val="6A5B7A23"/>
    <w:rsid w:val="6A7049F5"/>
    <w:rsid w:val="6A836356"/>
    <w:rsid w:val="6AB22761"/>
    <w:rsid w:val="6AC55455"/>
    <w:rsid w:val="6ADF5BC4"/>
    <w:rsid w:val="6B056393"/>
    <w:rsid w:val="6B1013B9"/>
    <w:rsid w:val="6B10467C"/>
    <w:rsid w:val="6B116FDD"/>
    <w:rsid w:val="6B21433A"/>
    <w:rsid w:val="6B3F3C79"/>
    <w:rsid w:val="6B650257"/>
    <w:rsid w:val="6B7D2A62"/>
    <w:rsid w:val="6B89664B"/>
    <w:rsid w:val="6B8D52C8"/>
    <w:rsid w:val="6BA33E76"/>
    <w:rsid w:val="6BD76D11"/>
    <w:rsid w:val="6BEA196E"/>
    <w:rsid w:val="6BF3153D"/>
    <w:rsid w:val="6C0F7E47"/>
    <w:rsid w:val="6C446C6F"/>
    <w:rsid w:val="6C5C19E2"/>
    <w:rsid w:val="6CC603E9"/>
    <w:rsid w:val="6CCB4615"/>
    <w:rsid w:val="6CCF735B"/>
    <w:rsid w:val="6D083A61"/>
    <w:rsid w:val="6D0B22DD"/>
    <w:rsid w:val="6D107BA9"/>
    <w:rsid w:val="6D2946E7"/>
    <w:rsid w:val="6D3148C4"/>
    <w:rsid w:val="6D36471B"/>
    <w:rsid w:val="6D6425EF"/>
    <w:rsid w:val="6D9774E7"/>
    <w:rsid w:val="6DA0667F"/>
    <w:rsid w:val="6DDC60B5"/>
    <w:rsid w:val="6E2459F4"/>
    <w:rsid w:val="6E2A7A21"/>
    <w:rsid w:val="6E704FD2"/>
    <w:rsid w:val="6E8C04E8"/>
    <w:rsid w:val="6E8D2952"/>
    <w:rsid w:val="6EB248BC"/>
    <w:rsid w:val="6EC675FF"/>
    <w:rsid w:val="6ECB68C7"/>
    <w:rsid w:val="6ED1205D"/>
    <w:rsid w:val="6F5F5455"/>
    <w:rsid w:val="6FD64137"/>
    <w:rsid w:val="703244A2"/>
    <w:rsid w:val="70725DE2"/>
    <w:rsid w:val="70927FBA"/>
    <w:rsid w:val="70961768"/>
    <w:rsid w:val="70B056D9"/>
    <w:rsid w:val="70CA14A4"/>
    <w:rsid w:val="70D22E28"/>
    <w:rsid w:val="71600F85"/>
    <w:rsid w:val="717362DC"/>
    <w:rsid w:val="71AE340F"/>
    <w:rsid w:val="71B11BCA"/>
    <w:rsid w:val="71C431F8"/>
    <w:rsid w:val="71EB6097"/>
    <w:rsid w:val="720A0931"/>
    <w:rsid w:val="720B5C7D"/>
    <w:rsid w:val="722E7D10"/>
    <w:rsid w:val="72333DE8"/>
    <w:rsid w:val="723D0106"/>
    <w:rsid w:val="72470871"/>
    <w:rsid w:val="724F458D"/>
    <w:rsid w:val="72563370"/>
    <w:rsid w:val="726714EA"/>
    <w:rsid w:val="72785719"/>
    <w:rsid w:val="72827DDB"/>
    <w:rsid w:val="729D7BEE"/>
    <w:rsid w:val="72A248EE"/>
    <w:rsid w:val="72B444B7"/>
    <w:rsid w:val="73256E49"/>
    <w:rsid w:val="732B46C5"/>
    <w:rsid w:val="737A3B14"/>
    <w:rsid w:val="73840C5D"/>
    <w:rsid w:val="738C6EF9"/>
    <w:rsid w:val="73A76CFF"/>
    <w:rsid w:val="73BC2887"/>
    <w:rsid w:val="73BE5E1D"/>
    <w:rsid w:val="73CC4294"/>
    <w:rsid w:val="73CE5D54"/>
    <w:rsid w:val="73D94B1F"/>
    <w:rsid w:val="73F40B80"/>
    <w:rsid w:val="740005FB"/>
    <w:rsid w:val="740279B1"/>
    <w:rsid w:val="741653B2"/>
    <w:rsid w:val="7448706F"/>
    <w:rsid w:val="745B3FC8"/>
    <w:rsid w:val="74631192"/>
    <w:rsid w:val="747623C7"/>
    <w:rsid w:val="7483500B"/>
    <w:rsid w:val="748A64CF"/>
    <w:rsid w:val="749536F5"/>
    <w:rsid w:val="74B6124D"/>
    <w:rsid w:val="74E312FC"/>
    <w:rsid w:val="74F76427"/>
    <w:rsid w:val="75060A8E"/>
    <w:rsid w:val="751E1904"/>
    <w:rsid w:val="75421769"/>
    <w:rsid w:val="756A05BD"/>
    <w:rsid w:val="757F6BD2"/>
    <w:rsid w:val="759325C0"/>
    <w:rsid w:val="75A95622"/>
    <w:rsid w:val="75C249C6"/>
    <w:rsid w:val="75CC591C"/>
    <w:rsid w:val="7624458B"/>
    <w:rsid w:val="763273A9"/>
    <w:rsid w:val="763E0B7E"/>
    <w:rsid w:val="7692774C"/>
    <w:rsid w:val="76CC1A03"/>
    <w:rsid w:val="76CC7D1F"/>
    <w:rsid w:val="76DD69DB"/>
    <w:rsid w:val="76FF7B4C"/>
    <w:rsid w:val="770E2F55"/>
    <w:rsid w:val="77596F70"/>
    <w:rsid w:val="77AF3762"/>
    <w:rsid w:val="77D16FB4"/>
    <w:rsid w:val="77D66E95"/>
    <w:rsid w:val="77E82236"/>
    <w:rsid w:val="77F50D83"/>
    <w:rsid w:val="78175F55"/>
    <w:rsid w:val="785263A8"/>
    <w:rsid w:val="78BE4732"/>
    <w:rsid w:val="78F8364A"/>
    <w:rsid w:val="790E3336"/>
    <w:rsid w:val="79110130"/>
    <w:rsid w:val="791A16C5"/>
    <w:rsid w:val="791D4228"/>
    <w:rsid w:val="79261E24"/>
    <w:rsid w:val="79480A50"/>
    <w:rsid w:val="79616EA1"/>
    <w:rsid w:val="79B01E1F"/>
    <w:rsid w:val="79B5326F"/>
    <w:rsid w:val="79C92558"/>
    <w:rsid w:val="79F558A4"/>
    <w:rsid w:val="7A022973"/>
    <w:rsid w:val="7A0E40CA"/>
    <w:rsid w:val="7A2D2593"/>
    <w:rsid w:val="7A483B7A"/>
    <w:rsid w:val="7A52106E"/>
    <w:rsid w:val="7A5A45D8"/>
    <w:rsid w:val="7A831148"/>
    <w:rsid w:val="7AA056E8"/>
    <w:rsid w:val="7ABC5BDB"/>
    <w:rsid w:val="7AEE2376"/>
    <w:rsid w:val="7B0435AE"/>
    <w:rsid w:val="7B114E83"/>
    <w:rsid w:val="7B1D45FB"/>
    <w:rsid w:val="7B2246CA"/>
    <w:rsid w:val="7B29698C"/>
    <w:rsid w:val="7B314D88"/>
    <w:rsid w:val="7B7F30A1"/>
    <w:rsid w:val="7B841BC7"/>
    <w:rsid w:val="7B8466B5"/>
    <w:rsid w:val="7B9C4E8D"/>
    <w:rsid w:val="7BA3223D"/>
    <w:rsid w:val="7BA6626C"/>
    <w:rsid w:val="7BB57E40"/>
    <w:rsid w:val="7BB63EA9"/>
    <w:rsid w:val="7BCC1AF4"/>
    <w:rsid w:val="7C1B03EA"/>
    <w:rsid w:val="7C327889"/>
    <w:rsid w:val="7C380363"/>
    <w:rsid w:val="7C416BDC"/>
    <w:rsid w:val="7C6900C1"/>
    <w:rsid w:val="7C896638"/>
    <w:rsid w:val="7CB1122F"/>
    <w:rsid w:val="7CC66BD6"/>
    <w:rsid w:val="7CD17EDA"/>
    <w:rsid w:val="7CD568B0"/>
    <w:rsid w:val="7CE3721F"/>
    <w:rsid w:val="7D231E1F"/>
    <w:rsid w:val="7D2A3E7F"/>
    <w:rsid w:val="7D74103C"/>
    <w:rsid w:val="7D7E1F4C"/>
    <w:rsid w:val="7D7E6865"/>
    <w:rsid w:val="7DC5513D"/>
    <w:rsid w:val="7DD50EF3"/>
    <w:rsid w:val="7E027B6B"/>
    <w:rsid w:val="7E116451"/>
    <w:rsid w:val="7E205D31"/>
    <w:rsid w:val="7E2F312D"/>
    <w:rsid w:val="7E35772F"/>
    <w:rsid w:val="7E6262CD"/>
    <w:rsid w:val="7E8A3C06"/>
    <w:rsid w:val="7E9E12C5"/>
    <w:rsid w:val="7EA46A90"/>
    <w:rsid w:val="7EBA53E1"/>
    <w:rsid w:val="7EC06BAB"/>
    <w:rsid w:val="7ED74E1A"/>
    <w:rsid w:val="7F15577F"/>
    <w:rsid w:val="7F1B3D88"/>
    <w:rsid w:val="7F4619BB"/>
    <w:rsid w:val="7F4D5CE5"/>
    <w:rsid w:val="7F584328"/>
    <w:rsid w:val="7F5C6DF1"/>
    <w:rsid w:val="7F5D5BFD"/>
    <w:rsid w:val="7F6B58A4"/>
    <w:rsid w:val="7F722859"/>
    <w:rsid w:val="7F7A6583"/>
    <w:rsid w:val="7FB8205D"/>
    <w:rsid w:val="7FBD2EC6"/>
    <w:rsid w:val="7FE624BA"/>
    <w:rsid w:val="7FEB53BE"/>
    <w:rsid w:val="7FEC1726"/>
    <w:rsid w:val="7FF01D07"/>
    <w:rsid w:val="9FF98927"/>
    <w:rsid w:val="CFF0FBF1"/>
    <w:rsid w:val="DFAFCF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01" w:firstLineChars="200"/>
      <w:jc w:val="both"/>
    </w:pPr>
    <w:rPr>
      <w:rFonts w:ascii="Times New Roman" w:hAnsi="Times New Roman" w:eastAsia="宋体" w:cstheme="minorBidi"/>
      <w:kern w:val="2"/>
      <w:sz w:val="28"/>
      <w:szCs w:val="24"/>
      <w:lang w:val="en-US" w:eastAsia="zh-CN" w:bidi="ar-SA"/>
    </w:rPr>
  </w:style>
  <w:style w:type="paragraph" w:styleId="2">
    <w:name w:val="heading 1"/>
    <w:basedOn w:val="1"/>
    <w:next w:val="1"/>
    <w:qFormat/>
    <w:uiPriority w:val="0"/>
    <w:pPr>
      <w:keepNext/>
      <w:keepLines/>
      <w:ind w:firstLine="0" w:firstLineChars="0"/>
      <w:jc w:val="center"/>
      <w:outlineLvl w:val="0"/>
    </w:pPr>
    <w:rPr>
      <w:b/>
      <w:spacing w:val="57"/>
      <w:kern w:val="44"/>
      <w:sz w:val="32"/>
    </w:rPr>
  </w:style>
  <w:style w:type="paragraph" w:styleId="3">
    <w:name w:val="heading 2"/>
    <w:basedOn w:val="1"/>
    <w:next w:val="1"/>
    <w:unhideWhenUsed/>
    <w:qFormat/>
    <w:uiPriority w:val="0"/>
    <w:pPr>
      <w:keepNext/>
      <w:keepLines/>
      <w:ind w:firstLine="0" w:firstLineChars="0"/>
      <w:outlineLvl w:val="1"/>
    </w:pPr>
    <w:rPr>
      <w:b/>
    </w:rPr>
  </w:style>
  <w:style w:type="paragraph" w:styleId="4">
    <w:name w:val="heading 3"/>
    <w:basedOn w:val="1"/>
    <w:next w:val="1"/>
    <w:unhideWhenUsed/>
    <w:qFormat/>
    <w:uiPriority w:val="0"/>
    <w:pPr>
      <w:keepNext/>
      <w:keepLines/>
      <w:spacing w:line="240" w:lineRule="auto"/>
      <w:ind w:firstLine="0" w:firstLineChars="0"/>
      <w:outlineLvl w:val="2"/>
    </w:pPr>
    <w:rPr>
      <w:b/>
    </w:rPr>
  </w:style>
  <w:style w:type="paragraph" w:styleId="5">
    <w:name w:val="heading 4"/>
    <w:basedOn w:val="1"/>
    <w:next w:val="1"/>
    <w:unhideWhenUsed/>
    <w:qFormat/>
    <w:uiPriority w:val="0"/>
    <w:pPr>
      <w:keepNext/>
      <w:keepLines/>
      <w:ind w:firstLine="0" w:firstLineChars="0"/>
      <w:outlineLvl w:val="3"/>
    </w:pPr>
    <w:rPr>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0"/>
    <w:qFormat/>
    <w:uiPriority w:val="0"/>
    <w:pPr>
      <w:jc w:val="left"/>
    </w:pPr>
  </w:style>
  <w:style w:type="paragraph" w:styleId="7">
    <w:name w:val="toc 3"/>
    <w:basedOn w:val="1"/>
    <w:next w:val="1"/>
    <w:qFormat/>
    <w:uiPriority w:val="39"/>
    <w:pPr>
      <w:ind w:left="840" w:leftChars="400"/>
    </w:pPr>
  </w:style>
  <w:style w:type="paragraph" w:styleId="8">
    <w:name w:val="Balloon Text"/>
    <w:basedOn w:val="1"/>
    <w:link w:val="25"/>
    <w:qFormat/>
    <w:uiPriority w:val="0"/>
    <w:pPr>
      <w:spacing w:line="240" w:lineRule="auto"/>
    </w:pPr>
    <w:rPr>
      <w:sz w:val="18"/>
      <w:szCs w:val="18"/>
    </w:rPr>
  </w:style>
  <w:style w:type="paragraph" w:styleId="9">
    <w:name w:val="footer"/>
    <w:basedOn w:val="1"/>
    <w:link w:val="26"/>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6"/>
    <w:next w:val="6"/>
    <w:link w:val="21"/>
    <w:qFormat/>
    <w:uiPriority w:val="0"/>
    <w:rPr>
      <w:b/>
      <w:bCs/>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Hyperlink"/>
    <w:basedOn w:val="17"/>
    <w:unhideWhenUsed/>
    <w:qFormat/>
    <w:uiPriority w:val="99"/>
    <w:rPr>
      <w:color w:val="0563C1" w:themeColor="hyperlink"/>
      <w:u w:val="single"/>
    </w:rPr>
  </w:style>
  <w:style w:type="character" w:styleId="19">
    <w:name w:val="annotation reference"/>
    <w:basedOn w:val="17"/>
    <w:qFormat/>
    <w:uiPriority w:val="0"/>
    <w:rPr>
      <w:sz w:val="21"/>
      <w:szCs w:val="21"/>
    </w:rPr>
  </w:style>
  <w:style w:type="character" w:customStyle="1" w:styleId="20">
    <w:name w:val="批注文字 字符"/>
    <w:basedOn w:val="17"/>
    <w:link w:val="6"/>
    <w:qFormat/>
    <w:uiPriority w:val="0"/>
    <w:rPr>
      <w:rFonts w:ascii="Times New Roman" w:hAnsi="Times New Roman" w:eastAsia="宋体"/>
      <w:kern w:val="2"/>
      <w:sz w:val="28"/>
      <w:szCs w:val="24"/>
    </w:rPr>
  </w:style>
  <w:style w:type="character" w:customStyle="1" w:styleId="21">
    <w:name w:val="批注主题 字符"/>
    <w:basedOn w:val="20"/>
    <w:link w:val="14"/>
    <w:qFormat/>
    <w:uiPriority w:val="0"/>
    <w:rPr>
      <w:rFonts w:ascii="Times New Roman" w:hAnsi="Times New Roman" w:eastAsia="宋体"/>
      <w:b/>
      <w:bCs/>
      <w:kern w:val="2"/>
      <w:sz w:val="28"/>
      <w:szCs w:val="24"/>
    </w:rPr>
  </w:style>
  <w:style w:type="paragraph" w:customStyle="1" w:styleId="22">
    <w:name w:val="修订1"/>
    <w:hidden/>
    <w:semiHidden/>
    <w:qFormat/>
    <w:uiPriority w:val="99"/>
    <w:rPr>
      <w:rFonts w:ascii="Times New Roman" w:hAnsi="Times New Roman" w:eastAsia="宋体" w:cstheme="minorBidi"/>
      <w:kern w:val="2"/>
      <w:sz w:val="28"/>
      <w:szCs w:val="24"/>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5">
    <w:name w:val="批注框文本 字符"/>
    <w:basedOn w:val="17"/>
    <w:link w:val="8"/>
    <w:qFormat/>
    <w:uiPriority w:val="0"/>
    <w:rPr>
      <w:rFonts w:cstheme="minorBidi"/>
      <w:kern w:val="2"/>
      <w:sz w:val="18"/>
      <w:szCs w:val="18"/>
    </w:rPr>
  </w:style>
  <w:style w:type="character" w:customStyle="1" w:styleId="26">
    <w:name w:val="页脚 字符"/>
    <w:basedOn w:val="17"/>
    <w:link w:val="9"/>
    <w:qFormat/>
    <w:uiPriority w:val="99"/>
    <w:rPr>
      <w:rFonts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TotalTime>11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2022-08-12T07:17:00Z</dcterms:created>
  <dc:creator>韩金峰:办公室领导审批</dc:creator>
  <cp:lastModifiedBy>熊樱:套红</cp:lastModifiedBy>
  <cp:lastPrinted>2022-08-31T12:06:21Z</cp:lastPrinted>
  <dcterms:modified xsi:type="dcterms:W3CDTF">2022-08-31T12:06:57Z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