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7FDBD3" w14:textId="77777777" w:rsidR="00032CD0" w:rsidRDefault="00000000">
      <w:pPr>
        <w:jc w:val="center"/>
        <w:rPr>
          <w:rFonts w:ascii="STZhongsong" w:eastAsia="STZhongsong" w:hAnsi="STZhongsong" w:cs="Times New Roman"/>
          <w:b/>
          <w:sz w:val="36"/>
          <w:szCs w:val="36"/>
        </w:rPr>
      </w:pPr>
      <w:r>
        <w:rPr>
          <w:rFonts w:ascii="STZhongsong" w:eastAsia="STZhongsong" w:hAnsi="STZhongsong" w:cs="Times New Roman" w:hint="eastAsia"/>
          <w:b/>
          <w:sz w:val="36"/>
          <w:szCs w:val="36"/>
        </w:rPr>
        <w:t>青菜绿色高效生产技术</w:t>
      </w:r>
    </w:p>
    <w:p w14:paraId="224F1160" w14:textId="77777777" w:rsidR="008A5BB4" w:rsidRDefault="008A5BB4">
      <w:pPr>
        <w:jc w:val="center"/>
        <w:rPr>
          <w:rFonts w:ascii="STZhongsong" w:eastAsia="STZhongsong" w:hAnsi="STZhongsong"/>
          <w:b/>
          <w:sz w:val="36"/>
          <w:szCs w:val="36"/>
        </w:rPr>
      </w:pPr>
    </w:p>
    <w:p w14:paraId="4D55A5C2" w14:textId="77777777" w:rsidR="00032CD0" w:rsidRDefault="00000000">
      <w:pPr>
        <w:adjustRightInd w:val="0"/>
        <w:snapToGrid w:val="0"/>
        <w:spacing w:line="600" w:lineRule="exact"/>
        <w:ind w:firstLineChars="200" w:firstLine="640"/>
        <w:rPr>
          <w:rFonts w:ascii="Times New Roman" w:eastAsia="黑体" w:hAnsi="Times New Roman"/>
          <w:bCs/>
          <w:color w:val="000000" w:themeColor="text1"/>
          <w:sz w:val="32"/>
          <w:szCs w:val="32"/>
        </w:rPr>
      </w:pPr>
      <w:r>
        <w:rPr>
          <w:rFonts w:ascii="Times New Roman" w:eastAsia="黑体" w:hAnsi="Times New Roman"/>
          <w:bCs/>
          <w:color w:val="000000" w:themeColor="text1"/>
          <w:sz w:val="32"/>
          <w:szCs w:val="32"/>
        </w:rPr>
        <w:t>一、技术概述</w:t>
      </w:r>
    </w:p>
    <w:p w14:paraId="69C4EC86" w14:textId="77777777" w:rsidR="00032CD0" w:rsidRPr="008A5BB4" w:rsidRDefault="00000000">
      <w:pPr>
        <w:snapToGrid w:val="0"/>
        <w:spacing w:line="560" w:lineRule="exact"/>
        <w:ind w:firstLineChars="200" w:firstLine="640"/>
        <w:rPr>
          <w:rFonts w:ascii="Times New Roman" w:eastAsia="楷体_GB2312" w:hAnsi="Times New Roman"/>
          <w:bCs/>
          <w:color w:val="000000" w:themeColor="text1"/>
          <w:sz w:val="28"/>
          <w:szCs w:val="28"/>
        </w:rPr>
      </w:pPr>
      <w:r w:rsidRPr="008A5BB4">
        <w:rPr>
          <w:rFonts w:ascii="Times New Roman" w:eastAsia="楷体" w:hAnsi="Times New Roman"/>
          <w:bCs/>
          <w:color w:val="000000" w:themeColor="text1"/>
          <w:sz w:val="32"/>
          <w:szCs w:val="32"/>
        </w:rPr>
        <w:t>（一）技术基本情况</w:t>
      </w:r>
    </w:p>
    <w:p w14:paraId="42B2C3D8" w14:textId="77777777" w:rsidR="00032CD0" w:rsidRPr="008A5BB4" w:rsidRDefault="00000000">
      <w:pPr>
        <w:widowControl/>
        <w:adjustRightInd w:val="0"/>
        <w:snapToGrid w:val="0"/>
        <w:spacing w:line="600" w:lineRule="exact"/>
        <w:ind w:firstLineChars="200" w:firstLine="560"/>
        <w:rPr>
          <w:rFonts w:ascii="仿宋_GB2312" w:eastAsia="仿宋_GB2312"/>
          <w:sz w:val="28"/>
          <w:szCs w:val="28"/>
        </w:rPr>
      </w:pPr>
      <w:r w:rsidRPr="008A5BB4">
        <w:rPr>
          <w:rFonts w:ascii="仿宋_GB2312" w:eastAsia="仿宋_GB2312" w:hint="eastAsia"/>
          <w:sz w:val="28"/>
          <w:szCs w:val="28"/>
        </w:rPr>
        <w:t>积极构建生态调控、生物防治、理化</w:t>
      </w:r>
      <w:proofErr w:type="gramStart"/>
      <w:r w:rsidRPr="008A5BB4">
        <w:rPr>
          <w:rFonts w:ascii="仿宋_GB2312" w:eastAsia="仿宋_GB2312" w:hint="eastAsia"/>
          <w:sz w:val="28"/>
          <w:szCs w:val="28"/>
        </w:rPr>
        <w:t>诱</w:t>
      </w:r>
      <w:proofErr w:type="gramEnd"/>
      <w:r w:rsidRPr="008A5BB4">
        <w:rPr>
          <w:rFonts w:ascii="仿宋_GB2312" w:eastAsia="仿宋_GB2312" w:hint="eastAsia"/>
          <w:sz w:val="28"/>
          <w:szCs w:val="28"/>
        </w:rPr>
        <w:t>控和科学用药等为主的绿色防控技术体系，集成示范有机肥（或有机无机复合肥）替代化肥、微生物菌肥增施增效、土壤调理剂改良土壤、</w:t>
      </w:r>
      <w:proofErr w:type="gramStart"/>
      <w:r w:rsidRPr="008A5BB4">
        <w:rPr>
          <w:rFonts w:ascii="仿宋_GB2312" w:eastAsia="仿宋_GB2312" w:hint="eastAsia"/>
          <w:sz w:val="28"/>
          <w:szCs w:val="28"/>
        </w:rPr>
        <w:t>高温闷棚土壤消毒</w:t>
      </w:r>
      <w:proofErr w:type="gramEnd"/>
      <w:r w:rsidRPr="008A5BB4">
        <w:rPr>
          <w:rFonts w:ascii="仿宋_GB2312" w:eastAsia="仿宋_GB2312" w:hint="eastAsia"/>
          <w:sz w:val="28"/>
          <w:szCs w:val="28"/>
        </w:rPr>
        <w:t>、土壤地力评估与推荐施肥等土壤保育技术，推广水肥耦合的高效蔬菜水肥一体化技术，科学应用大中微量元素、含氨基酸、腐殖酸、有机水</w:t>
      </w:r>
      <w:proofErr w:type="gramStart"/>
      <w:r w:rsidRPr="008A5BB4">
        <w:rPr>
          <w:rFonts w:ascii="仿宋_GB2312" w:eastAsia="仿宋_GB2312" w:hint="eastAsia"/>
          <w:sz w:val="28"/>
          <w:szCs w:val="28"/>
        </w:rPr>
        <w:t>溶肥及其</w:t>
      </w:r>
      <w:proofErr w:type="gramEnd"/>
      <w:r w:rsidRPr="008A5BB4">
        <w:rPr>
          <w:rFonts w:ascii="仿宋_GB2312" w:eastAsia="仿宋_GB2312" w:hint="eastAsia"/>
          <w:sz w:val="28"/>
          <w:szCs w:val="28"/>
        </w:rPr>
        <w:t>他</w:t>
      </w:r>
      <w:proofErr w:type="gramStart"/>
      <w:r w:rsidRPr="008A5BB4">
        <w:rPr>
          <w:rFonts w:ascii="仿宋_GB2312" w:eastAsia="仿宋_GB2312" w:hint="eastAsia"/>
          <w:sz w:val="28"/>
          <w:szCs w:val="28"/>
        </w:rPr>
        <w:t>类型全水溶</w:t>
      </w:r>
      <w:proofErr w:type="gramEnd"/>
      <w:r w:rsidRPr="008A5BB4">
        <w:rPr>
          <w:rFonts w:ascii="仿宋_GB2312" w:eastAsia="仿宋_GB2312" w:hint="eastAsia"/>
          <w:sz w:val="28"/>
          <w:szCs w:val="28"/>
        </w:rPr>
        <w:t>肥料。实现化肥、化学农药用量显著降低，确保地产青菜质量安全和生态环境安全。</w:t>
      </w:r>
    </w:p>
    <w:p w14:paraId="5F101646" w14:textId="77777777" w:rsidR="00032CD0" w:rsidRPr="008A5BB4" w:rsidRDefault="00000000">
      <w:pPr>
        <w:snapToGrid w:val="0"/>
        <w:spacing w:line="600" w:lineRule="exact"/>
        <w:ind w:firstLine="640"/>
        <w:rPr>
          <w:rFonts w:ascii="Times New Roman" w:eastAsia="楷体_GB2312" w:hAnsi="Times New Roman"/>
          <w:bCs/>
          <w:color w:val="000000" w:themeColor="text1"/>
          <w:sz w:val="28"/>
          <w:szCs w:val="28"/>
        </w:rPr>
      </w:pPr>
      <w:r w:rsidRPr="008A5BB4">
        <w:rPr>
          <w:rFonts w:ascii="Times New Roman" w:eastAsia="楷体" w:hAnsi="Times New Roman"/>
          <w:bCs/>
          <w:color w:val="000000" w:themeColor="text1"/>
          <w:sz w:val="32"/>
          <w:szCs w:val="32"/>
        </w:rPr>
        <w:t>（二）技术示范推广情况</w:t>
      </w:r>
    </w:p>
    <w:p w14:paraId="07336F59" w14:textId="77777777" w:rsidR="00032CD0" w:rsidRPr="008A5BB4" w:rsidRDefault="00000000" w:rsidP="008A5BB4">
      <w:pPr>
        <w:adjustRightInd w:val="0"/>
        <w:snapToGrid w:val="0"/>
        <w:spacing w:line="360" w:lineRule="auto"/>
        <w:ind w:firstLineChars="200" w:firstLine="560"/>
        <w:rPr>
          <w:rFonts w:ascii="Times New Roman" w:eastAsia="仿宋_GB2312" w:hAnsi="Times New Roman"/>
          <w:color w:val="FF0000"/>
          <w:spacing w:val="8"/>
          <w:sz w:val="28"/>
          <w:szCs w:val="28"/>
          <w:shd w:val="clear" w:color="auto" w:fill="FFFFFF"/>
        </w:rPr>
      </w:pPr>
      <w:r w:rsidRPr="008A5BB4">
        <w:rPr>
          <w:rFonts w:ascii="仿宋_GB2312" w:eastAsia="仿宋_GB2312" w:hint="eastAsia"/>
          <w:sz w:val="28"/>
          <w:szCs w:val="28"/>
        </w:rPr>
        <w:t>通过青菜绿色高效生产关键技术的集成，制定相关技术规程，在全市建立了200多家辐射推广基地，重点推广应用有机肥（或有机无机复合肥）替代化肥、微生物菌肥增施增效、土壤调理剂改良土壤、</w:t>
      </w:r>
      <w:proofErr w:type="gramStart"/>
      <w:r w:rsidRPr="008A5BB4">
        <w:rPr>
          <w:rFonts w:ascii="仿宋_GB2312" w:eastAsia="仿宋_GB2312" w:hint="eastAsia"/>
          <w:sz w:val="28"/>
          <w:szCs w:val="28"/>
        </w:rPr>
        <w:t>高温闷棚土壤消毒</w:t>
      </w:r>
      <w:proofErr w:type="gramEnd"/>
      <w:r w:rsidRPr="008A5BB4">
        <w:rPr>
          <w:rFonts w:ascii="仿宋_GB2312" w:eastAsia="仿宋_GB2312" w:hint="eastAsia"/>
          <w:sz w:val="28"/>
          <w:szCs w:val="28"/>
        </w:rPr>
        <w:t>、土壤地力评估与推荐施肥等土壤保育技术，推广水肥耦合的高效蔬菜水肥一体化技术，以及“绿色防控+生物农药”化学</w:t>
      </w:r>
      <w:proofErr w:type="gramStart"/>
      <w:r w:rsidRPr="008A5BB4">
        <w:rPr>
          <w:rFonts w:ascii="仿宋_GB2312" w:eastAsia="仿宋_GB2312" w:hint="eastAsia"/>
          <w:sz w:val="28"/>
          <w:szCs w:val="28"/>
        </w:rPr>
        <w:t>农药减施增效</w:t>
      </w:r>
      <w:proofErr w:type="gramEnd"/>
      <w:r w:rsidRPr="008A5BB4">
        <w:rPr>
          <w:rFonts w:ascii="仿宋_GB2312" w:eastAsia="仿宋_GB2312" w:hint="eastAsia"/>
          <w:sz w:val="28"/>
          <w:szCs w:val="28"/>
        </w:rPr>
        <w:t>技术模式。在全市9个</w:t>
      </w:r>
      <w:proofErr w:type="gramStart"/>
      <w:r w:rsidRPr="008A5BB4">
        <w:rPr>
          <w:rFonts w:ascii="仿宋_GB2312" w:eastAsia="仿宋_GB2312" w:hint="eastAsia"/>
          <w:sz w:val="28"/>
          <w:szCs w:val="28"/>
        </w:rPr>
        <w:t>涉农区</w:t>
      </w:r>
      <w:proofErr w:type="gramEnd"/>
      <w:r w:rsidRPr="008A5BB4">
        <w:rPr>
          <w:rFonts w:ascii="仿宋_GB2312" w:eastAsia="仿宋_GB2312" w:hint="eastAsia"/>
          <w:sz w:val="28"/>
          <w:szCs w:val="28"/>
        </w:rPr>
        <w:t>及光明集团进行推广应用，每年示范</w:t>
      </w:r>
      <w:proofErr w:type="gramStart"/>
      <w:r w:rsidRPr="008A5BB4">
        <w:rPr>
          <w:rFonts w:ascii="仿宋_GB2312" w:eastAsia="仿宋_GB2312" w:hint="eastAsia"/>
          <w:sz w:val="28"/>
          <w:szCs w:val="28"/>
        </w:rPr>
        <w:t>应用达</w:t>
      </w:r>
      <w:proofErr w:type="gramEnd"/>
      <w:r w:rsidRPr="008A5BB4">
        <w:rPr>
          <w:rFonts w:ascii="仿宋_GB2312" w:eastAsia="仿宋_GB2312" w:hint="eastAsia"/>
          <w:sz w:val="28"/>
          <w:szCs w:val="28"/>
        </w:rPr>
        <w:t>20多万亩次。</w:t>
      </w:r>
    </w:p>
    <w:p w14:paraId="5B435CBB" w14:textId="421CB1F5" w:rsidR="00032CD0" w:rsidRDefault="00000000" w:rsidP="008A5BB4">
      <w:pPr>
        <w:numPr>
          <w:ilvl w:val="0"/>
          <w:numId w:val="1"/>
        </w:numPr>
        <w:snapToGrid w:val="0"/>
        <w:spacing w:line="600" w:lineRule="exact"/>
        <w:ind w:firstLine="641"/>
        <w:rPr>
          <w:rFonts w:ascii="Times New Roman" w:eastAsia="楷体_GB2312" w:hAnsi="Times New Roman"/>
          <w:b/>
          <w:sz w:val="28"/>
          <w:szCs w:val="28"/>
        </w:rPr>
      </w:pPr>
      <w:r>
        <w:rPr>
          <w:rFonts w:ascii="Times New Roman" w:eastAsia="楷体" w:hAnsi="Times New Roman"/>
          <w:b/>
          <w:sz w:val="32"/>
          <w:szCs w:val="32"/>
        </w:rPr>
        <w:t>提质增效情况</w:t>
      </w:r>
    </w:p>
    <w:p w14:paraId="42496300" w14:textId="77777777" w:rsidR="00032CD0" w:rsidRPr="008A5BB4" w:rsidRDefault="00000000">
      <w:pPr>
        <w:adjustRightInd w:val="0"/>
        <w:snapToGrid w:val="0"/>
        <w:spacing w:line="360" w:lineRule="auto"/>
        <w:ind w:firstLineChars="200" w:firstLine="560"/>
        <w:rPr>
          <w:rFonts w:ascii="仿宋_GB2312" w:eastAsia="仿宋_GB2312"/>
          <w:sz w:val="28"/>
          <w:szCs w:val="28"/>
        </w:rPr>
      </w:pPr>
      <w:r w:rsidRPr="008A5BB4">
        <w:rPr>
          <w:rFonts w:ascii="仿宋_GB2312" w:eastAsia="仿宋_GB2312" w:hint="eastAsia"/>
          <w:sz w:val="28"/>
          <w:szCs w:val="28"/>
        </w:rPr>
        <w:t>应用青菜绿色高效生产技术，可有效减少化肥用量 10%左右，减少化学农药用量15%以上，土壤有机质含量提高3%-5%，农产品合格率达到100%，每667 m</w:t>
      </w:r>
      <w:r w:rsidRPr="008A5BB4">
        <w:rPr>
          <w:rFonts w:ascii="仿宋_GB2312" w:eastAsia="仿宋_GB2312" w:hint="eastAsia"/>
          <w:sz w:val="28"/>
          <w:szCs w:val="28"/>
          <w:vertAlign w:val="superscript"/>
        </w:rPr>
        <w:t>2</w:t>
      </w:r>
      <w:r w:rsidRPr="008A5BB4">
        <w:rPr>
          <w:rFonts w:ascii="仿宋_GB2312" w:eastAsia="仿宋_GB2312" w:hint="eastAsia"/>
          <w:sz w:val="28"/>
          <w:szCs w:val="28"/>
        </w:rPr>
        <w:t>增收200-300元，节约劳动力等成本约200元。</w:t>
      </w:r>
    </w:p>
    <w:p w14:paraId="1467D483" w14:textId="4D246E27" w:rsidR="00032CD0" w:rsidRDefault="00000000">
      <w:pPr>
        <w:snapToGrid w:val="0"/>
        <w:spacing w:line="600" w:lineRule="exact"/>
        <w:ind w:firstLineChars="200" w:firstLine="643"/>
        <w:rPr>
          <w:rFonts w:ascii="Times New Roman" w:eastAsia="楷体_GB2312" w:hAnsi="Times New Roman"/>
          <w:b/>
          <w:color w:val="000000" w:themeColor="text1"/>
          <w:sz w:val="28"/>
          <w:szCs w:val="28"/>
        </w:rPr>
      </w:pPr>
      <w:r>
        <w:rPr>
          <w:rFonts w:ascii="Times New Roman" w:eastAsia="楷体" w:hAnsi="Times New Roman"/>
          <w:b/>
          <w:color w:val="000000" w:themeColor="text1"/>
          <w:sz w:val="32"/>
          <w:szCs w:val="32"/>
        </w:rPr>
        <w:lastRenderedPageBreak/>
        <w:t>（四）技术获奖情况</w:t>
      </w:r>
    </w:p>
    <w:p w14:paraId="6E507370" w14:textId="77777777" w:rsidR="00032CD0" w:rsidRPr="008A5BB4" w:rsidRDefault="00000000">
      <w:pPr>
        <w:ind w:firstLineChars="200" w:firstLine="560"/>
        <w:rPr>
          <w:rFonts w:ascii="仿宋" w:eastAsia="仿宋" w:hAnsi="仿宋" w:cs="仿宋"/>
          <w:bCs/>
          <w:sz w:val="28"/>
          <w:szCs w:val="28"/>
        </w:rPr>
      </w:pPr>
      <w:r w:rsidRPr="008A5BB4">
        <w:rPr>
          <w:rFonts w:ascii="仿宋" w:eastAsia="仿宋" w:hAnsi="仿宋" w:cs="仿宋" w:hint="eastAsia"/>
          <w:bCs/>
          <w:sz w:val="28"/>
          <w:szCs w:val="28"/>
        </w:rPr>
        <w:t>无。</w:t>
      </w:r>
    </w:p>
    <w:p w14:paraId="1F698554" w14:textId="77777777" w:rsidR="00032CD0" w:rsidRDefault="00000000">
      <w:pPr>
        <w:snapToGrid w:val="0"/>
        <w:spacing w:line="600" w:lineRule="exact"/>
        <w:ind w:firstLineChars="200" w:firstLine="640"/>
        <w:rPr>
          <w:rFonts w:ascii="Times New Roman" w:eastAsia="黑体" w:hAnsi="Times New Roman"/>
          <w:color w:val="000000" w:themeColor="text1"/>
          <w:sz w:val="28"/>
          <w:szCs w:val="28"/>
        </w:rPr>
      </w:pPr>
      <w:r>
        <w:rPr>
          <w:rFonts w:ascii="Times New Roman" w:eastAsia="黑体" w:hAnsi="Times New Roman"/>
          <w:color w:val="000000" w:themeColor="text1"/>
          <w:sz w:val="32"/>
          <w:szCs w:val="32"/>
        </w:rPr>
        <w:t>二、技术要点</w:t>
      </w:r>
      <w:r>
        <w:rPr>
          <w:rFonts w:ascii="Times New Roman" w:eastAsia="黑体" w:hAnsi="Times New Roman"/>
          <w:color w:val="000000" w:themeColor="text1"/>
          <w:sz w:val="28"/>
          <w:szCs w:val="28"/>
        </w:rPr>
        <w:t>（核心技术及其配套技术主要内容）</w:t>
      </w:r>
    </w:p>
    <w:p w14:paraId="2E2CA1E3" w14:textId="77777777" w:rsidR="00032CD0" w:rsidRPr="008A5BB4" w:rsidRDefault="00000000">
      <w:pPr>
        <w:spacing w:line="360" w:lineRule="auto"/>
        <w:ind w:firstLineChars="200" w:firstLine="640"/>
        <w:rPr>
          <w:rFonts w:ascii="Times New Roman" w:eastAsia="楷体" w:hAnsi="Times New Roman" w:cs="Times New Roman"/>
          <w:bCs/>
          <w:color w:val="000000"/>
          <w:sz w:val="32"/>
          <w:szCs w:val="32"/>
        </w:rPr>
      </w:pPr>
      <w:r w:rsidRPr="008A5BB4">
        <w:rPr>
          <w:rFonts w:ascii="Times New Roman" w:eastAsia="楷体" w:hAnsi="Times New Roman" w:cs="Times New Roman"/>
          <w:bCs/>
          <w:color w:val="000000"/>
          <w:sz w:val="32"/>
          <w:szCs w:val="32"/>
        </w:rPr>
        <w:t>（一）</w:t>
      </w:r>
      <w:r w:rsidRPr="008A5BB4">
        <w:rPr>
          <w:rFonts w:ascii="Times New Roman" w:eastAsia="楷体" w:hAnsi="Times New Roman" w:cs="Times New Roman" w:hint="eastAsia"/>
          <w:bCs/>
          <w:color w:val="000000"/>
          <w:sz w:val="32"/>
          <w:szCs w:val="32"/>
        </w:rPr>
        <w:t>基地选择与要求</w:t>
      </w:r>
    </w:p>
    <w:p w14:paraId="014B480D" w14:textId="77777777" w:rsidR="00032CD0" w:rsidRPr="008A5BB4" w:rsidRDefault="00000000">
      <w:pPr>
        <w:adjustRightInd w:val="0"/>
        <w:snapToGrid w:val="0"/>
        <w:spacing w:line="360" w:lineRule="auto"/>
        <w:ind w:firstLineChars="200" w:firstLine="560"/>
        <w:rPr>
          <w:rFonts w:ascii="仿宋_GB2312" w:eastAsia="仿宋_GB2312"/>
          <w:bCs/>
          <w:sz w:val="28"/>
          <w:szCs w:val="28"/>
        </w:rPr>
      </w:pPr>
      <w:r w:rsidRPr="008A5BB4">
        <w:rPr>
          <w:rFonts w:ascii="仿宋_GB2312" w:eastAsia="仿宋_GB2312" w:hint="eastAsia"/>
          <w:bCs/>
          <w:sz w:val="28"/>
          <w:szCs w:val="28"/>
        </w:rPr>
        <w:t>选择生态条件良好，远离污染源的区域，基地内土壤、空气、灌水符合绿色蔬菜产地环境条件的要求。同时基地内水、电、路配套齐全，优先选择具有较好排灌设施和大棚保护地设施。无田间窝棚搭建，做到田边棚间无杂草，沟系畅通无杂物，农资存放规范，保持良好的场容场貌。</w:t>
      </w:r>
    </w:p>
    <w:p w14:paraId="4017D23F" w14:textId="77777777" w:rsidR="00032CD0" w:rsidRPr="008A5BB4" w:rsidRDefault="00000000">
      <w:pPr>
        <w:spacing w:line="360" w:lineRule="auto"/>
        <w:ind w:firstLineChars="200" w:firstLine="640"/>
        <w:rPr>
          <w:rFonts w:ascii="Times New Roman" w:eastAsia="楷体" w:hAnsi="Times New Roman" w:cs="Times New Roman"/>
          <w:bCs/>
          <w:color w:val="000000"/>
          <w:sz w:val="32"/>
          <w:szCs w:val="32"/>
        </w:rPr>
      </w:pPr>
      <w:r w:rsidRPr="008A5BB4">
        <w:rPr>
          <w:rFonts w:ascii="Times New Roman" w:eastAsia="楷体" w:hAnsi="Times New Roman" w:cs="Times New Roman" w:hint="eastAsia"/>
          <w:bCs/>
          <w:color w:val="000000"/>
          <w:sz w:val="32"/>
          <w:szCs w:val="32"/>
        </w:rPr>
        <w:t>（二）集成应用青菜绿色生产技术</w:t>
      </w:r>
    </w:p>
    <w:p w14:paraId="6CE98537" w14:textId="77777777" w:rsidR="00032CD0" w:rsidRPr="008A5BB4" w:rsidRDefault="00000000">
      <w:pPr>
        <w:adjustRightInd w:val="0"/>
        <w:snapToGrid w:val="0"/>
        <w:spacing w:line="360" w:lineRule="auto"/>
        <w:ind w:firstLineChars="200" w:firstLine="562"/>
        <w:rPr>
          <w:rFonts w:ascii="仿宋_GB2312" w:eastAsia="仿宋_GB2312"/>
          <w:b/>
          <w:bCs/>
          <w:sz w:val="28"/>
          <w:szCs w:val="28"/>
        </w:rPr>
      </w:pPr>
      <w:r w:rsidRPr="008A5BB4">
        <w:rPr>
          <w:rFonts w:ascii="仿宋_GB2312" w:eastAsia="仿宋_GB2312" w:hint="eastAsia"/>
          <w:b/>
          <w:bCs/>
          <w:sz w:val="28"/>
          <w:szCs w:val="28"/>
        </w:rPr>
        <w:t>1. 绿色防控技术</w:t>
      </w:r>
    </w:p>
    <w:p w14:paraId="55A87B7A" w14:textId="77777777" w:rsidR="00032CD0" w:rsidRPr="008A5BB4" w:rsidRDefault="00000000">
      <w:pPr>
        <w:adjustRightInd w:val="0"/>
        <w:snapToGrid w:val="0"/>
        <w:spacing w:line="360" w:lineRule="auto"/>
        <w:ind w:firstLineChars="200" w:firstLine="560"/>
        <w:rPr>
          <w:rFonts w:ascii="仿宋_GB2312" w:eastAsia="仿宋_GB2312"/>
          <w:sz w:val="28"/>
          <w:szCs w:val="28"/>
        </w:rPr>
      </w:pPr>
      <w:r w:rsidRPr="008A5BB4">
        <w:rPr>
          <w:rFonts w:ascii="仿宋_GB2312" w:eastAsia="仿宋_GB2312" w:hint="eastAsia"/>
          <w:sz w:val="28"/>
          <w:szCs w:val="28"/>
        </w:rPr>
        <w:t>（1）生态调控技术。实行科学轮作制度，推广抗病虫品种，培育健康种苗，合理密植，田间应通风透光，加强水肥管理，土壤深翻及</w:t>
      </w:r>
      <w:proofErr w:type="gramStart"/>
      <w:r w:rsidRPr="008A5BB4">
        <w:rPr>
          <w:rFonts w:ascii="仿宋_GB2312" w:eastAsia="仿宋_GB2312" w:hint="eastAsia"/>
          <w:sz w:val="28"/>
          <w:szCs w:val="28"/>
        </w:rPr>
        <w:t>高温闷棚土壤消毒</w:t>
      </w:r>
      <w:proofErr w:type="gramEnd"/>
      <w:r w:rsidRPr="008A5BB4">
        <w:rPr>
          <w:rFonts w:ascii="仿宋_GB2312" w:eastAsia="仿宋_GB2312" w:hint="eastAsia"/>
          <w:sz w:val="28"/>
          <w:szCs w:val="28"/>
        </w:rPr>
        <w:t>技术，收获后应及时将田间的病虫残株、杂草等清除，集中沤肥处理，以减少病虫的寄主和基数。推广使用全生物降解地膜防除田间杂草，园艺地布覆盖防除路边、</w:t>
      </w:r>
      <w:proofErr w:type="gramStart"/>
      <w:r w:rsidRPr="008A5BB4">
        <w:rPr>
          <w:rFonts w:ascii="仿宋_GB2312" w:eastAsia="仿宋_GB2312" w:hint="eastAsia"/>
          <w:sz w:val="28"/>
          <w:szCs w:val="28"/>
        </w:rPr>
        <w:t>棚间棚头杂草</w:t>
      </w:r>
      <w:proofErr w:type="gramEnd"/>
      <w:r w:rsidRPr="008A5BB4">
        <w:rPr>
          <w:rFonts w:ascii="仿宋_GB2312" w:eastAsia="仿宋_GB2312" w:hint="eastAsia"/>
          <w:sz w:val="28"/>
          <w:szCs w:val="28"/>
        </w:rPr>
        <w:t>等健康栽培措施。科学选择、合理搭配应用百日菊、波斯菊、硫华菊、二月兰和香根草等蜜源植物、趋避植物等保护和利用天敌，增加菜田生态系统生物多样性，创造蔬菜作物健康生长环境。</w:t>
      </w:r>
    </w:p>
    <w:p w14:paraId="3B95D1C2" w14:textId="77777777" w:rsidR="00032CD0" w:rsidRPr="008A5BB4" w:rsidRDefault="00000000">
      <w:pPr>
        <w:adjustRightInd w:val="0"/>
        <w:snapToGrid w:val="0"/>
        <w:spacing w:line="360" w:lineRule="auto"/>
        <w:ind w:firstLineChars="200" w:firstLine="560"/>
        <w:rPr>
          <w:rFonts w:ascii="仿宋_GB2312" w:eastAsia="仿宋_GB2312"/>
          <w:sz w:val="28"/>
          <w:szCs w:val="28"/>
        </w:rPr>
      </w:pPr>
      <w:r w:rsidRPr="008A5BB4">
        <w:rPr>
          <w:rFonts w:ascii="仿宋_GB2312" w:eastAsia="仿宋_GB2312" w:hint="eastAsia"/>
          <w:sz w:val="28"/>
          <w:szCs w:val="28"/>
        </w:rPr>
        <w:t>（2）生物防治技术。重点应用以虫治虫、以</w:t>
      </w:r>
      <w:proofErr w:type="gramStart"/>
      <w:r w:rsidRPr="008A5BB4">
        <w:rPr>
          <w:rFonts w:ascii="仿宋_GB2312" w:eastAsia="仿宋_GB2312" w:hint="eastAsia"/>
          <w:sz w:val="28"/>
          <w:szCs w:val="28"/>
        </w:rPr>
        <w:t>螨</w:t>
      </w:r>
      <w:proofErr w:type="gramEnd"/>
      <w:r w:rsidRPr="008A5BB4">
        <w:rPr>
          <w:rFonts w:ascii="仿宋_GB2312" w:eastAsia="仿宋_GB2312" w:hint="eastAsia"/>
          <w:sz w:val="28"/>
          <w:szCs w:val="28"/>
        </w:rPr>
        <w:t>治</w:t>
      </w:r>
      <w:proofErr w:type="gramStart"/>
      <w:r w:rsidRPr="008A5BB4">
        <w:rPr>
          <w:rFonts w:ascii="仿宋_GB2312" w:eastAsia="仿宋_GB2312" w:hint="eastAsia"/>
          <w:sz w:val="28"/>
          <w:szCs w:val="28"/>
        </w:rPr>
        <w:t>螨</w:t>
      </w:r>
      <w:proofErr w:type="gramEnd"/>
      <w:r w:rsidRPr="008A5BB4">
        <w:rPr>
          <w:rFonts w:ascii="仿宋_GB2312" w:eastAsia="仿宋_GB2312" w:hint="eastAsia"/>
          <w:sz w:val="28"/>
          <w:szCs w:val="28"/>
        </w:rPr>
        <w:t>、以菌治虫、以菌治菌等生物防治措施。加大瓢虫（异色瓢虫、龟纹瓢虫等）、捕食</w:t>
      </w:r>
      <w:proofErr w:type="gramStart"/>
      <w:r w:rsidRPr="008A5BB4">
        <w:rPr>
          <w:rFonts w:ascii="仿宋_GB2312" w:eastAsia="仿宋_GB2312" w:hint="eastAsia"/>
          <w:sz w:val="28"/>
          <w:szCs w:val="28"/>
        </w:rPr>
        <w:t>螨</w:t>
      </w:r>
      <w:proofErr w:type="gramEnd"/>
      <w:r w:rsidRPr="008A5BB4">
        <w:rPr>
          <w:rFonts w:ascii="仿宋_GB2312" w:eastAsia="仿宋_GB2312" w:hint="eastAsia"/>
          <w:sz w:val="28"/>
          <w:szCs w:val="28"/>
        </w:rPr>
        <w:t>（胡瓜钝绥</w:t>
      </w:r>
      <w:proofErr w:type="gramStart"/>
      <w:r w:rsidRPr="008A5BB4">
        <w:rPr>
          <w:rFonts w:ascii="仿宋_GB2312" w:eastAsia="仿宋_GB2312" w:hint="eastAsia"/>
          <w:sz w:val="28"/>
          <w:szCs w:val="28"/>
        </w:rPr>
        <w:t>螨</w:t>
      </w:r>
      <w:proofErr w:type="gramEnd"/>
      <w:r w:rsidRPr="008A5BB4">
        <w:rPr>
          <w:rFonts w:ascii="仿宋_GB2312" w:eastAsia="仿宋_GB2312" w:hint="eastAsia"/>
          <w:sz w:val="28"/>
          <w:szCs w:val="28"/>
        </w:rPr>
        <w:t>、智利小植绥螨等）、赤眼蜂等天敌的应用规模；加大苏云金杆菌（BT）、木霉菌、枯草芽孢杆菌、核型多角体病毒、植物源农药等生物制剂的示范推广力度，提升生物农药使用规模和比例。</w:t>
      </w:r>
    </w:p>
    <w:p w14:paraId="7D9CE287" w14:textId="05C64A01" w:rsidR="00032CD0" w:rsidRPr="008A5BB4" w:rsidRDefault="00000000">
      <w:pPr>
        <w:adjustRightInd w:val="0"/>
        <w:snapToGrid w:val="0"/>
        <w:spacing w:line="360" w:lineRule="auto"/>
        <w:ind w:firstLineChars="200" w:firstLine="560"/>
        <w:rPr>
          <w:rFonts w:ascii="仿宋_GB2312" w:eastAsia="仿宋_GB2312" w:hAnsi="Times New Roman" w:cs="Times New Roman"/>
          <w:sz w:val="28"/>
          <w:szCs w:val="28"/>
        </w:rPr>
      </w:pPr>
      <w:r w:rsidRPr="008A5BB4">
        <w:rPr>
          <w:rFonts w:ascii="仿宋_GB2312" w:eastAsia="仿宋_GB2312" w:hint="eastAsia"/>
          <w:sz w:val="28"/>
          <w:szCs w:val="28"/>
        </w:rPr>
        <w:lastRenderedPageBreak/>
        <w:t>（3）理化</w:t>
      </w:r>
      <w:proofErr w:type="gramStart"/>
      <w:r w:rsidRPr="008A5BB4">
        <w:rPr>
          <w:rFonts w:ascii="仿宋_GB2312" w:eastAsia="仿宋_GB2312" w:hint="eastAsia"/>
          <w:sz w:val="28"/>
          <w:szCs w:val="28"/>
        </w:rPr>
        <w:t>诱</w:t>
      </w:r>
      <w:proofErr w:type="gramEnd"/>
      <w:r w:rsidRPr="008A5BB4">
        <w:rPr>
          <w:rFonts w:ascii="仿宋_GB2312" w:eastAsia="仿宋_GB2312" w:hint="eastAsia"/>
          <w:sz w:val="28"/>
          <w:szCs w:val="28"/>
        </w:rPr>
        <w:t>控技术。重点推广灯</w:t>
      </w:r>
      <w:proofErr w:type="gramStart"/>
      <w:r w:rsidRPr="008A5BB4">
        <w:rPr>
          <w:rFonts w:ascii="仿宋_GB2312" w:eastAsia="仿宋_GB2312" w:hint="eastAsia"/>
          <w:sz w:val="28"/>
          <w:szCs w:val="28"/>
        </w:rPr>
        <w:t>诱</w:t>
      </w:r>
      <w:proofErr w:type="gramEnd"/>
      <w:r w:rsidRPr="008A5BB4">
        <w:rPr>
          <w:rFonts w:ascii="仿宋_GB2312" w:eastAsia="仿宋_GB2312" w:hint="eastAsia"/>
          <w:sz w:val="28"/>
          <w:szCs w:val="28"/>
        </w:rPr>
        <w:t>（包括光源诱捕器）、性</w:t>
      </w:r>
      <w:proofErr w:type="gramStart"/>
      <w:r w:rsidRPr="008A5BB4">
        <w:rPr>
          <w:rFonts w:ascii="仿宋_GB2312" w:eastAsia="仿宋_GB2312" w:hint="eastAsia"/>
          <w:sz w:val="28"/>
          <w:szCs w:val="28"/>
        </w:rPr>
        <w:t>诱</w:t>
      </w:r>
      <w:proofErr w:type="gramEnd"/>
      <w:r w:rsidRPr="008A5BB4">
        <w:rPr>
          <w:rFonts w:ascii="仿宋_GB2312" w:eastAsia="仿宋_GB2312" w:hint="eastAsia"/>
          <w:sz w:val="28"/>
          <w:szCs w:val="28"/>
        </w:rPr>
        <w:t>、色</w:t>
      </w:r>
      <w:proofErr w:type="gramStart"/>
      <w:r w:rsidRPr="008A5BB4">
        <w:rPr>
          <w:rFonts w:ascii="仿宋_GB2312" w:eastAsia="仿宋_GB2312" w:hint="eastAsia"/>
          <w:sz w:val="28"/>
          <w:szCs w:val="28"/>
        </w:rPr>
        <w:t>诱</w:t>
      </w:r>
      <w:proofErr w:type="gramEnd"/>
      <w:r w:rsidRPr="008A5BB4">
        <w:rPr>
          <w:rFonts w:ascii="仿宋_GB2312" w:eastAsia="仿宋_GB2312" w:hint="eastAsia"/>
          <w:sz w:val="28"/>
          <w:szCs w:val="28"/>
        </w:rPr>
        <w:t>、食</w:t>
      </w:r>
      <w:proofErr w:type="gramStart"/>
      <w:r w:rsidRPr="008A5BB4">
        <w:rPr>
          <w:rFonts w:ascii="仿宋_GB2312" w:eastAsia="仿宋_GB2312" w:hint="eastAsia"/>
          <w:sz w:val="28"/>
          <w:szCs w:val="28"/>
        </w:rPr>
        <w:t>诱</w:t>
      </w:r>
      <w:proofErr w:type="gramEnd"/>
      <w:r w:rsidRPr="008A5BB4">
        <w:rPr>
          <w:rFonts w:ascii="仿宋_GB2312" w:eastAsia="仿宋_GB2312" w:hint="eastAsia"/>
          <w:sz w:val="28"/>
          <w:szCs w:val="28"/>
        </w:rPr>
        <w:t>和防虫网为主要内容的集成技术防治蔬菜害虫，</w:t>
      </w:r>
      <w:r w:rsidRPr="008A5BB4">
        <w:rPr>
          <w:rFonts w:ascii="仿宋_GB2312" w:eastAsia="仿宋_GB2312" w:hAnsi="Times New Roman" w:cs="Times New Roman" w:hint="eastAsia"/>
          <w:sz w:val="28"/>
          <w:szCs w:val="28"/>
        </w:rPr>
        <w:t>科学</w:t>
      </w:r>
      <w:r w:rsidRPr="008A5BB4">
        <w:rPr>
          <w:rFonts w:ascii="仿宋_GB2312" w:eastAsia="仿宋_GB2312" w:hint="eastAsia"/>
          <w:sz w:val="28"/>
          <w:szCs w:val="28"/>
        </w:rPr>
        <w:t>规范使用。如</w:t>
      </w:r>
      <w:r w:rsidRPr="008A5BB4">
        <w:rPr>
          <w:rFonts w:ascii="仿宋_GB2312" w:eastAsia="仿宋_GB2312" w:hAnsi="Times New Roman" w:cs="Times New Roman" w:hint="eastAsia"/>
          <w:sz w:val="28"/>
          <w:szCs w:val="28"/>
        </w:rPr>
        <w:t>杀虫灯诱杀甜菜夜蛾、斜纹夜蛾：每15-25亩挂置一台杀虫灯，挂灯高度为65-75</w:t>
      </w:r>
      <w:r w:rsidR="00555C03">
        <w:rPr>
          <w:rFonts w:ascii="仿宋_GB2312" w:eastAsia="仿宋_GB2312" w:hAnsi="Times New Roman" w:cs="Times New Roman" w:hint="eastAsia"/>
          <w:sz w:val="28"/>
          <w:szCs w:val="28"/>
        </w:rPr>
        <w:t xml:space="preserve"> cm</w:t>
      </w:r>
      <w:r w:rsidRPr="008A5BB4">
        <w:rPr>
          <w:rFonts w:ascii="仿宋_GB2312" w:eastAsia="仿宋_GB2312" w:hAnsi="Times New Roman" w:cs="Times New Roman" w:hint="eastAsia"/>
          <w:sz w:val="28"/>
          <w:szCs w:val="28"/>
        </w:rPr>
        <w:t>；性信息素诱杀甜菜夜蛾、斜纹夜蛾：每2-3亩挂置1个诱捕器，挂</w:t>
      </w:r>
      <w:proofErr w:type="gramStart"/>
      <w:r w:rsidRPr="008A5BB4">
        <w:rPr>
          <w:rFonts w:ascii="仿宋_GB2312" w:eastAsia="仿宋_GB2312" w:hAnsi="Times New Roman" w:cs="Times New Roman" w:hint="eastAsia"/>
          <w:sz w:val="28"/>
          <w:szCs w:val="28"/>
        </w:rPr>
        <w:t>置高度</w:t>
      </w:r>
      <w:proofErr w:type="gramEnd"/>
      <w:r w:rsidRPr="008A5BB4">
        <w:rPr>
          <w:rFonts w:ascii="仿宋_GB2312" w:eastAsia="仿宋_GB2312" w:hAnsi="Times New Roman" w:cs="Times New Roman" w:hint="eastAsia"/>
          <w:sz w:val="28"/>
          <w:szCs w:val="28"/>
        </w:rPr>
        <w:t>为80-100</w:t>
      </w:r>
      <w:r w:rsidR="00F22424">
        <w:rPr>
          <w:rFonts w:ascii="仿宋_GB2312" w:eastAsia="仿宋_GB2312" w:hAnsi="Times New Roman" w:cs="Times New Roman" w:hint="eastAsia"/>
          <w:sz w:val="28"/>
          <w:szCs w:val="28"/>
        </w:rPr>
        <w:t xml:space="preserve"> cm</w:t>
      </w:r>
      <w:r w:rsidRPr="008A5BB4">
        <w:rPr>
          <w:rFonts w:ascii="仿宋_GB2312" w:eastAsia="仿宋_GB2312" w:hAnsi="Times New Roman" w:cs="Times New Roman" w:hint="eastAsia"/>
          <w:sz w:val="28"/>
          <w:szCs w:val="28"/>
        </w:rPr>
        <w:t>；性信息素诱杀小菜蛾：每亩挂置8-10个诱捕器，挂</w:t>
      </w:r>
      <w:proofErr w:type="gramStart"/>
      <w:r w:rsidRPr="008A5BB4">
        <w:rPr>
          <w:rFonts w:ascii="仿宋_GB2312" w:eastAsia="仿宋_GB2312" w:hAnsi="Times New Roman" w:cs="Times New Roman" w:hint="eastAsia"/>
          <w:sz w:val="28"/>
          <w:szCs w:val="28"/>
        </w:rPr>
        <w:t>置高度</w:t>
      </w:r>
      <w:proofErr w:type="gramEnd"/>
      <w:r w:rsidRPr="008A5BB4">
        <w:rPr>
          <w:rFonts w:ascii="仿宋_GB2312" w:eastAsia="仿宋_GB2312" w:hAnsi="Times New Roman" w:cs="Times New Roman" w:hint="eastAsia"/>
          <w:sz w:val="28"/>
          <w:szCs w:val="28"/>
        </w:rPr>
        <w:t>为10-15</w:t>
      </w:r>
      <w:r w:rsidR="00F22424">
        <w:rPr>
          <w:rFonts w:ascii="仿宋_GB2312" w:eastAsia="仿宋_GB2312" w:hAnsi="Times New Roman" w:cs="Times New Roman" w:hint="eastAsia"/>
          <w:sz w:val="28"/>
          <w:szCs w:val="28"/>
        </w:rPr>
        <w:t xml:space="preserve"> cm</w:t>
      </w:r>
      <w:r w:rsidRPr="008A5BB4">
        <w:rPr>
          <w:rFonts w:ascii="仿宋_GB2312" w:eastAsia="仿宋_GB2312" w:hAnsi="Times New Roman" w:cs="Times New Roman" w:hint="eastAsia"/>
          <w:sz w:val="28"/>
          <w:szCs w:val="28"/>
        </w:rPr>
        <w:t>；黄板诱杀黄曲条跳甲：每亩挂置25-30张板，挂</w:t>
      </w:r>
      <w:proofErr w:type="gramStart"/>
      <w:r w:rsidRPr="008A5BB4">
        <w:rPr>
          <w:rFonts w:ascii="仿宋_GB2312" w:eastAsia="仿宋_GB2312" w:hAnsi="Times New Roman" w:cs="Times New Roman" w:hint="eastAsia"/>
          <w:sz w:val="28"/>
          <w:szCs w:val="28"/>
        </w:rPr>
        <w:t>置高度</w:t>
      </w:r>
      <w:proofErr w:type="gramEnd"/>
      <w:r w:rsidRPr="008A5BB4">
        <w:rPr>
          <w:rFonts w:ascii="仿宋_GB2312" w:eastAsia="仿宋_GB2312" w:hAnsi="Times New Roman" w:cs="Times New Roman" w:hint="eastAsia"/>
          <w:sz w:val="28"/>
          <w:szCs w:val="28"/>
        </w:rPr>
        <w:t>为黄板底部距离地面5-10</w:t>
      </w:r>
      <w:r w:rsidR="00F22424">
        <w:rPr>
          <w:rFonts w:ascii="仿宋_GB2312" w:eastAsia="仿宋_GB2312" w:hAnsi="Times New Roman" w:cs="Times New Roman" w:hint="eastAsia"/>
          <w:sz w:val="28"/>
          <w:szCs w:val="28"/>
        </w:rPr>
        <w:t xml:space="preserve"> </w:t>
      </w:r>
      <w:r w:rsidRPr="008A5BB4">
        <w:rPr>
          <w:rFonts w:ascii="仿宋_GB2312" w:eastAsia="仿宋_GB2312" w:hAnsi="Times New Roman" w:cs="Times New Roman" w:hint="eastAsia"/>
          <w:sz w:val="28"/>
          <w:szCs w:val="28"/>
        </w:rPr>
        <w:t>cm；食</w:t>
      </w:r>
      <w:proofErr w:type="gramStart"/>
      <w:r w:rsidRPr="008A5BB4">
        <w:rPr>
          <w:rFonts w:ascii="仿宋_GB2312" w:eastAsia="仿宋_GB2312" w:hAnsi="Times New Roman" w:cs="Times New Roman" w:hint="eastAsia"/>
          <w:sz w:val="28"/>
          <w:szCs w:val="28"/>
        </w:rPr>
        <w:t>诱</w:t>
      </w:r>
      <w:proofErr w:type="gramEnd"/>
      <w:r w:rsidRPr="008A5BB4">
        <w:rPr>
          <w:rFonts w:ascii="仿宋_GB2312" w:eastAsia="仿宋_GB2312" w:hAnsi="Times New Roman" w:cs="Times New Roman" w:hint="eastAsia"/>
          <w:sz w:val="28"/>
          <w:szCs w:val="28"/>
        </w:rPr>
        <w:t>剂诱杀烟粉</w:t>
      </w:r>
      <w:proofErr w:type="gramStart"/>
      <w:r w:rsidRPr="008A5BB4">
        <w:rPr>
          <w:rFonts w:ascii="仿宋_GB2312" w:eastAsia="仿宋_GB2312" w:hAnsi="Times New Roman" w:cs="Times New Roman" w:hint="eastAsia"/>
          <w:sz w:val="28"/>
          <w:szCs w:val="28"/>
        </w:rPr>
        <w:t>虱</w:t>
      </w:r>
      <w:proofErr w:type="gramEnd"/>
      <w:r w:rsidRPr="008A5BB4">
        <w:rPr>
          <w:rFonts w:ascii="仿宋_GB2312" w:eastAsia="仿宋_GB2312" w:hAnsi="Times New Roman" w:cs="Times New Roman" w:hint="eastAsia"/>
          <w:sz w:val="28"/>
          <w:szCs w:val="28"/>
        </w:rPr>
        <w:t>、蚜虫和</w:t>
      </w:r>
      <w:proofErr w:type="gramStart"/>
      <w:r w:rsidRPr="008A5BB4">
        <w:rPr>
          <w:rFonts w:ascii="仿宋_GB2312" w:eastAsia="仿宋_GB2312" w:hAnsi="Times New Roman" w:cs="Times New Roman" w:hint="eastAsia"/>
          <w:sz w:val="28"/>
          <w:szCs w:val="28"/>
        </w:rPr>
        <w:t>蓟</w:t>
      </w:r>
      <w:proofErr w:type="gramEnd"/>
      <w:r w:rsidRPr="008A5BB4">
        <w:rPr>
          <w:rFonts w:ascii="仿宋_GB2312" w:eastAsia="仿宋_GB2312" w:hAnsi="Times New Roman" w:cs="Times New Roman" w:hint="eastAsia"/>
          <w:sz w:val="28"/>
          <w:szCs w:val="28"/>
        </w:rPr>
        <w:t>马：每亩放置3-4个诱捕器，悬挂高度为距离地面1</w:t>
      </w:r>
      <w:r w:rsidR="00F22424">
        <w:rPr>
          <w:rFonts w:ascii="仿宋_GB2312" w:eastAsia="仿宋_GB2312" w:hAnsi="Times New Roman" w:cs="Times New Roman" w:hint="eastAsia"/>
          <w:sz w:val="28"/>
          <w:szCs w:val="28"/>
        </w:rPr>
        <w:t xml:space="preserve"> m</w:t>
      </w:r>
      <w:r w:rsidRPr="008A5BB4">
        <w:rPr>
          <w:rFonts w:ascii="仿宋_GB2312" w:eastAsia="仿宋_GB2312" w:hAnsi="Times New Roman" w:cs="Times New Roman" w:hint="eastAsia"/>
          <w:sz w:val="28"/>
          <w:szCs w:val="28"/>
        </w:rPr>
        <w:t>或者高于作物叶面20</w:t>
      </w:r>
      <w:r w:rsidR="00F22424">
        <w:rPr>
          <w:rFonts w:ascii="仿宋_GB2312" w:eastAsia="仿宋_GB2312" w:hAnsi="Times New Roman" w:cs="Times New Roman" w:hint="eastAsia"/>
          <w:sz w:val="28"/>
          <w:szCs w:val="28"/>
        </w:rPr>
        <w:t xml:space="preserve"> cm</w:t>
      </w:r>
      <w:r w:rsidRPr="008A5BB4">
        <w:rPr>
          <w:rFonts w:ascii="仿宋_GB2312" w:eastAsia="仿宋_GB2312" w:hAnsi="Times New Roman" w:cs="Times New Roman" w:hint="eastAsia"/>
          <w:sz w:val="28"/>
          <w:szCs w:val="28"/>
        </w:rPr>
        <w:t>；防虫网：选用20－25目白色或灰色防虫网。</w:t>
      </w:r>
    </w:p>
    <w:p w14:paraId="06AB5A32" w14:textId="77777777" w:rsidR="00032CD0" w:rsidRPr="008A5BB4" w:rsidRDefault="00000000">
      <w:pPr>
        <w:adjustRightInd w:val="0"/>
        <w:snapToGrid w:val="0"/>
        <w:spacing w:line="360" w:lineRule="auto"/>
        <w:ind w:firstLineChars="200" w:firstLine="560"/>
        <w:rPr>
          <w:rFonts w:ascii="仿宋" w:eastAsia="仿宋" w:hAnsi="仿宋"/>
          <w:color w:val="000000"/>
          <w:sz w:val="28"/>
          <w:szCs w:val="28"/>
        </w:rPr>
      </w:pPr>
      <w:r w:rsidRPr="008A5BB4">
        <w:rPr>
          <w:rFonts w:ascii="仿宋_GB2312" w:eastAsia="仿宋_GB2312" w:hint="eastAsia"/>
          <w:sz w:val="28"/>
          <w:szCs w:val="28"/>
        </w:rPr>
        <w:t>（4）科学用药技术。优化农药品种结构，对症用药，推广高效、低毒、低残留、环境友好型农药，提倡优先使用生物农药，科学、安全、合理使用农药。同时，掌握用药适期、施药方法，严格遵守农药安全间隔期。强化对常发、重发病虫害农药的科学选用，如防治甜菜夜蛾等害虫可选用</w:t>
      </w:r>
      <w:proofErr w:type="gramStart"/>
      <w:r w:rsidRPr="008A5BB4">
        <w:rPr>
          <w:rFonts w:ascii="仿宋_GB2312" w:eastAsia="仿宋_GB2312" w:hint="eastAsia"/>
          <w:sz w:val="28"/>
          <w:szCs w:val="28"/>
        </w:rPr>
        <w:t>虱螨脲</w:t>
      </w:r>
      <w:proofErr w:type="gramEnd"/>
      <w:r w:rsidRPr="008A5BB4">
        <w:rPr>
          <w:rFonts w:ascii="仿宋_GB2312" w:eastAsia="仿宋_GB2312" w:hint="eastAsia"/>
          <w:sz w:val="28"/>
          <w:szCs w:val="28"/>
        </w:rPr>
        <w:t>、</w:t>
      </w:r>
      <w:proofErr w:type="gramStart"/>
      <w:r w:rsidRPr="008A5BB4">
        <w:rPr>
          <w:rFonts w:ascii="仿宋_GB2312" w:eastAsia="仿宋_GB2312" w:hint="eastAsia"/>
          <w:sz w:val="28"/>
          <w:szCs w:val="28"/>
        </w:rPr>
        <w:t>甲氧虫酰肼</w:t>
      </w:r>
      <w:proofErr w:type="gramEnd"/>
      <w:r w:rsidRPr="008A5BB4">
        <w:rPr>
          <w:rFonts w:ascii="仿宋_GB2312" w:eastAsia="仿宋_GB2312" w:hint="eastAsia"/>
          <w:sz w:val="28"/>
          <w:szCs w:val="28"/>
        </w:rPr>
        <w:t>、甜核·</w:t>
      </w:r>
      <w:proofErr w:type="gramStart"/>
      <w:r w:rsidRPr="008A5BB4">
        <w:rPr>
          <w:rFonts w:ascii="仿宋_GB2312" w:eastAsia="仿宋_GB2312" w:hint="eastAsia"/>
          <w:sz w:val="28"/>
          <w:szCs w:val="28"/>
        </w:rPr>
        <w:t>苏云菌等</w:t>
      </w:r>
      <w:proofErr w:type="gramEnd"/>
      <w:r w:rsidRPr="008A5BB4">
        <w:rPr>
          <w:rFonts w:ascii="仿宋_GB2312" w:eastAsia="仿宋_GB2312" w:hint="eastAsia"/>
          <w:sz w:val="28"/>
          <w:szCs w:val="28"/>
        </w:rPr>
        <w:t>药剂；防治小菜蛾等害虫可选用甲氨基阿维菌素苯甲酸盐、</w:t>
      </w:r>
      <w:proofErr w:type="gramStart"/>
      <w:r w:rsidRPr="008A5BB4">
        <w:rPr>
          <w:rFonts w:ascii="仿宋_GB2312" w:eastAsia="仿宋_GB2312" w:hint="eastAsia"/>
          <w:sz w:val="28"/>
          <w:szCs w:val="28"/>
        </w:rPr>
        <w:t>茚</w:t>
      </w:r>
      <w:proofErr w:type="gramEnd"/>
      <w:r w:rsidRPr="008A5BB4">
        <w:rPr>
          <w:rFonts w:ascii="仿宋_GB2312" w:eastAsia="仿宋_GB2312" w:hint="eastAsia"/>
          <w:sz w:val="28"/>
          <w:szCs w:val="28"/>
        </w:rPr>
        <w:t>虫威、苦参碱、苏云金杆菌等药剂；防治黄曲条跳甲等害虫可选用金龟子</w:t>
      </w:r>
      <w:proofErr w:type="gramStart"/>
      <w:r w:rsidRPr="008A5BB4">
        <w:rPr>
          <w:rFonts w:ascii="仿宋_GB2312" w:eastAsia="仿宋_GB2312" w:hint="eastAsia"/>
          <w:sz w:val="28"/>
          <w:szCs w:val="28"/>
        </w:rPr>
        <w:t>绿僵菌</w:t>
      </w:r>
      <w:proofErr w:type="gramEnd"/>
      <w:r w:rsidRPr="008A5BB4">
        <w:rPr>
          <w:rFonts w:ascii="仿宋_GB2312" w:eastAsia="仿宋_GB2312" w:hint="eastAsia"/>
          <w:sz w:val="28"/>
          <w:szCs w:val="28"/>
        </w:rPr>
        <w:t>CQMa421、</w:t>
      </w:r>
      <w:proofErr w:type="gramStart"/>
      <w:r w:rsidRPr="008A5BB4">
        <w:rPr>
          <w:rFonts w:ascii="仿宋_GB2312" w:eastAsia="仿宋_GB2312" w:hint="eastAsia"/>
          <w:sz w:val="28"/>
          <w:szCs w:val="28"/>
        </w:rPr>
        <w:t>噻</w:t>
      </w:r>
      <w:proofErr w:type="gramEnd"/>
      <w:r w:rsidRPr="008A5BB4">
        <w:rPr>
          <w:rFonts w:ascii="仿宋_GB2312" w:eastAsia="仿宋_GB2312" w:hint="eastAsia"/>
          <w:sz w:val="28"/>
          <w:szCs w:val="28"/>
        </w:rPr>
        <w:t>虫</w:t>
      </w:r>
      <w:proofErr w:type="gramStart"/>
      <w:r w:rsidRPr="008A5BB4">
        <w:rPr>
          <w:rFonts w:ascii="仿宋_GB2312" w:eastAsia="仿宋_GB2312" w:hint="eastAsia"/>
          <w:sz w:val="28"/>
          <w:szCs w:val="28"/>
        </w:rPr>
        <w:t>嗪</w:t>
      </w:r>
      <w:proofErr w:type="gramEnd"/>
      <w:r w:rsidRPr="008A5BB4">
        <w:rPr>
          <w:rFonts w:ascii="仿宋_GB2312" w:eastAsia="仿宋_GB2312" w:hint="eastAsia"/>
          <w:sz w:val="28"/>
          <w:szCs w:val="28"/>
        </w:rPr>
        <w:t>等药剂；防治蚜虫等害虫可选用苦参碱、桉油精等药剂；防治软腐病等病害可选用大蒜素、枯草芽孢杆菌等药剂；防治根肿病等病害可选用氟</w:t>
      </w:r>
      <w:proofErr w:type="gramStart"/>
      <w:r w:rsidRPr="008A5BB4">
        <w:rPr>
          <w:rFonts w:ascii="仿宋_GB2312" w:eastAsia="仿宋_GB2312" w:hint="eastAsia"/>
          <w:sz w:val="28"/>
          <w:szCs w:val="28"/>
        </w:rPr>
        <w:t>啶</w:t>
      </w:r>
      <w:proofErr w:type="gramEnd"/>
      <w:r w:rsidRPr="008A5BB4">
        <w:rPr>
          <w:rFonts w:ascii="仿宋_GB2312" w:eastAsia="仿宋_GB2312" w:hint="eastAsia"/>
          <w:sz w:val="28"/>
          <w:szCs w:val="28"/>
        </w:rPr>
        <w:t>胺、枯草芽孢杆菌等药剂。</w:t>
      </w:r>
    </w:p>
    <w:p w14:paraId="76AFDB18" w14:textId="77777777" w:rsidR="00032CD0" w:rsidRPr="008A5BB4" w:rsidRDefault="00000000">
      <w:pPr>
        <w:adjustRightInd w:val="0"/>
        <w:snapToGrid w:val="0"/>
        <w:spacing w:line="360" w:lineRule="auto"/>
        <w:ind w:firstLineChars="200" w:firstLine="562"/>
        <w:rPr>
          <w:rFonts w:ascii="仿宋_GB2312" w:eastAsia="仿宋_GB2312" w:hAnsi="Calibri"/>
          <w:b/>
          <w:bCs/>
          <w:sz w:val="28"/>
          <w:szCs w:val="28"/>
        </w:rPr>
      </w:pPr>
      <w:r w:rsidRPr="008A5BB4">
        <w:rPr>
          <w:rFonts w:ascii="仿宋_GB2312" w:eastAsia="仿宋_GB2312" w:hint="eastAsia"/>
          <w:b/>
          <w:bCs/>
          <w:sz w:val="28"/>
          <w:szCs w:val="28"/>
        </w:rPr>
        <w:t>2. 水肥一体化技术</w:t>
      </w:r>
    </w:p>
    <w:p w14:paraId="53752AFE" w14:textId="17E7B4B4" w:rsidR="00032CD0" w:rsidRPr="008A5BB4" w:rsidRDefault="00000000">
      <w:pPr>
        <w:adjustRightInd w:val="0"/>
        <w:snapToGrid w:val="0"/>
        <w:spacing w:line="360" w:lineRule="auto"/>
        <w:ind w:firstLineChars="200" w:firstLine="560"/>
        <w:rPr>
          <w:rFonts w:ascii="仿宋_GB2312" w:eastAsia="仿宋_GB2312"/>
          <w:sz w:val="28"/>
          <w:szCs w:val="28"/>
        </w:rPr>
      </w:pPr>
      <w:r w:rsidRPr="008A5BB4">
        <w:rPr>
          <w:rFonts w:ascii="仿宋_GB2312" w:eastAsia="仿宋_GB2312" w:hint="eastAsia"/>
          <w:sz w:val="28"/>
          <w:szCs w:val="28"/>
        </w:rPr>
        <w:t>该项技术适宜于有河道、井、蓄水池等固定水源的地方，且水质符合GB 5084相关要求。为预防堵塞，若灌溉水中水溶无机物含量为10-100</w:t>
      </w:r>
      <w:r w:rsidR="00555C03">
        <w:rPr>
          <w:rFonts w:ascii="仿宋_GB2312" w:eastAsia="仿宋_GB2312" w:hint="eastAsia"/>
          <w:sz w:val="28"/>
          <w:szCs w:val="28"/>
        </w:rPr>
        <w:t xml:space="preserve"> mg</w:t>
      </w:r>
      <w:r w:rsidRPr="008A5BB4">
        <w:rPr>
          <w:rFonts w:ascii="仿宋_GB2312" w:eastAsia="仿宋_GB2312" w:hint="eastAsia"/>
          <w:sz w:val="28"/>
          <w:szCs w:val="28"/>
        </w:rPr>
        <w:t>/</w:t>
      </w:r>
      <w:r w:rsidR="00555C03">
        <w:rPr>
          <w:rFonts w:ascii="仿宋_GB2312" w:eastAsia="仿宋_GB2312" w:hint="eastAsia"/>
          <w:sz w:val="28"/>
          <w:szCs w:val="28"/>
        </w:rPr>
        <w:t>L</w:t>
      </w:r>
      <w:r w:rsidRPr="008A5BB4">
        <w:rPr>
          <w:rFonts w:ascii="仿宋_GB2312" w:eastAsia="仿宋_GB2312" w:hint="eastAsia"/>
          <w:sz w:val="28"/>
          <w:szCs w:val="28"/>
        </w:rPr>
        <w:t>，需先用100目筛网进行过滤，再使用砂石过滤器进行过滤；若灌溉水中的无机物含量达到100</w:t>
      </w:r>
      <w:r w:rsidR="00555C03">
        <w:rPr>
          <w:rFonts w:ascii="仿宋_GB2312" w:eastAsia="仿宋_GB2312" w:hint="eastAsia"/>
          <w:sz w:val="28"/>
          <w:szCs w:val="28"/>
        </w:rPr>
        <w:t xml:space="preserve"> mg</w:t>
      </w:r>
      <w:r w:rsidR="00555C03" w:rsidRPr="008A5BB4">
        <w:rPr>
          <w:rFonts w:ascii="仿宋_GB2312" w:eastAsia="仿宋_GB2312" w:hint="eastAsia"/>
          <w:sz w:val="28"/>
          <w:szCs w:val="28"/>
        </w:rPr>
        <w:t>/</w:t>
      </w:r>
      <w:r w:rsidR="00555C03">
        <w:rPr>
          <w:rFonts w:ascii="仿宋_GB2312" w:eastAsia="仿宋_GB2312" w:hint="eastAsia"/>
          <w:sz w:val="28"/>
          <w:szCs w:val="28"/>
        </w:rPr>
        <w:t>L</w:t>
      </w:r>
      <w:r w:rsidRPr="008A5BB4">
        <w:rPr>
          <w:rFonts w:ascii="仿宋_GB2312" w:eastAsia="仿宋_GB2312" w:hint="eastAsia"/>
          <w:sz w:val="28"/>
          <w:szCs w:val="28"/>
        </w:rPr>
        <w:t>以上，需采用叠片式</w:t>
      </w:r>
      <w:r w:rsidRPr="008A5BB4">
        <w:rPr>
          <w:rFonts w:ascii="仿宋_GB2312" w:eastAsia="仿宋_GB2312" w:hint="eastAsia"/>
          <w:sz w:val="28"/>
          <w:szCs w:val="28"/>
        </w:rPr>
        <w:lastRenderedPageBreak/>
        <w:t>过滤器进行过滤。</w:t>
      </w:r>
    </w:p>
    <w:p w14:paraId="50FF351A" w14:textId="77777777" w:rsidR="00032CD0" w:rsidRPr="008A5BB4" w:rsidRDefault="00000000">
      <w:pPr>
        <w:adjustRightInd w:val="0"/>
        <w:snapToGrid w:val="0"/>
        <w:spacing w:line="360" w:lineRule="auto"/>
        <w:ind w:firstLineChars="200" w:firstLine="560"/>
        <w:rPr>
          <w:rFonts w:ascii="仿宋_GB2312" w:eastAsia="仿宋_GB2312"/>
          <w:sz w:val="28"/>
          <w:szCs w:val="28"/>
        </w:rPr>
      </w:pPr>
      <w:r w:rsidRPr="008A5BB4">
        <w:rPr>
          <w:rFonts w:ascii="仿宋_GB2312" w:eastAsia="仿宋_GB2312" w:hint="eastAsia"/>
          <w:sz w:val="28"/>
          <w:szCs w:val="28"/>
        </w:rPr>
        <w:t>（1）首部。首部配置1-2台泵，通过控制柜控制使用。过滤器通常采用砂石过滤器和叠片式过滤器，且设计成反冲洗的为好。叠片式过滤器要定期拆卸清洗，一般每周一次；</w:t>
      </w:r>
      <w:proofErr w:type="gramStart"/>
      <w:r w:rsidRPr="008A5BB4">
        <w:rPr>
          <w:rFonts w:ascii="仿宋_GB2312" w:eastAsia="仿宋_GB2312" w:hint="eastAsia"/>
          <w:sz w:val="28"/>
          <w:szCs w:val="28"/>
        </w:rPr>
        <w:t>滴灌管</w:t>
      </w:r>
      <w:proofErr w:type="gramEnd"/>
      <w:r w:rsidRPr="008A5BB4">
        <w:rPr>
          <w:rFonts w:ascii="仿宋_GB2312" w:eastAsia="仿宋_GB2312" w:hint="eastAsia"/>
          <w:sz w:val="28"/>
          <w:szCs w:val="28"/>
        </w:rPr>
        <w:t>尾端定期打开清洗，一般每月一次。</w:t>
      </w:r>
    </w:p>
    <w:p w14:paraId="69A516B0" w14:textId="77777777" w:rsidR="00032CD0" w:rsidRPr="008A5BB4" w:rsidRDefault="00000000">
      <w:pPr>
        <w:adjustRightInd w:val="0"/>
        <w:snapToGrid w:val="0"/>
        <w:spacing w:line="360" w:lineRule="auto"/>
        <w:ind w:firstLineChars="200" w:firstLine="560"/>
        <w:rPr>
          <w:rFonts w:ascii="仿宋_GB2312" w:eastAsia="仿宋_GB2312"/>
          <w:sz w:val="28"/>
          <w:szCs w:val="28"/>
        </w:rPr>
      </w:pPr>
      <w:r w:rsidRPr="008A5BB4">
        <w:rPr>
          <w:rFonts w:ascii="仿宋_GB2312" w:eastAsia="仿宋_GB2312" w:hint="eastAsia"/>
          <w:sz w:val="28"/>
          <w:szCs w:val="28"/>
        </w:rPr>
        <w:t>（2）微灌系统。根据地形、田块、单元、土壤质地、作物种植方式、水源特点等基本情况设计管道系统的埋设深度、长度、灌区面积等。水肥一体化的灌水方式可采用管道灌溉、喷灌、微喷灌、滴灌、渗灌等。</w:t>
      </w:r>
    </w:p>
    <w:p w14:paraId="7D643B85" w14:textId="77777777" w:rsidR="00032CD0" w:rsidRPr="008A5BB4" w:rsidRDefault="00000000">
      <w:pPr>
        <w:adjustRightInd w:val="0"/>
        <w:snapToGrid w:val="0"/>
        <w:spacing w:line="360" w:lineRule="auto"/>
        <w:ind w:firstLineChars="200" w:firstLine="560"/>
        <w:rPr>
          <w:rFonts w:ascii="仿宋_GB2312" w:eastAsia="仿宋_GB2312"/>
          <w:sz w:val="28"/>
          <w:szCs w:val="28"/>
        </w:rPr>
      </w:pPr>
      <w:r w:rsidRPr="008A5BB4">
        <w:rPr>
          <w:rFonts w:ascii="仿宋_GB2312" w:eastAsia="仿宋_GB2312" w:hint="eastAsia"/>
          <w:sz w:val="28"/>
          <w:szCs w:val="28"/>
        </w:rPr>
        <w:t>（3）施肥器。包括配肥池（罐）、文丘里施肥器、比例</w:t>
      </w:r>
      <w:proofErr w:type="gramStart"/>
      <w:r w:rsidRPr="008A5BB4">
        <w:rPr>
          <w:rFonts w:ascii="仿宋_GB2312" w:eastAsia="仿宋_GB2312" w:hint="eastAsia"/>
          <w:sz w:val="28"/>
          <w:szCs w:val="28"/>
        </w:rPr>
        <w:t>注肥泵</w:t>
      </w:r>
      <w:proofErr w:type="gramEnd"/>
      <w:r w:rsidRPr="008A5BB4">
        <w:rPr>
          <w:rFonts w:ascii="仿宋_GB2312" w:eastAsia="仿宋_GB2312" w:hint="eastAsia"/>
          <w:sz w:val="28"/>
          <w:szCs w:val="28"/>
        </w:rPr>
        <w:t>、全自动施肥机等。</w:t>
      </w:r>
    </w:p>
    <w:p w14:paraId="094C5881" w14:textId="77777777" w:rsidR="00032CD0" w:rsidRPr="008A5BB4" w:rsidRDefault="00000000">
      <w:pPr>
        <w:adjustRightInd w:val="0"/>
        <w:snapToGrid w:val="0"/>
        <w:spacing w:line="360" w:lineRule="auto"/>
        <w:ind w:firstLineChars="200" w:firstLine="560"/>
        <w:rPr>
          <w:rFonts w:ascii="仿宋_GB2312" w:eastAsia="仿宋_GB2312"/>
          <w:sz w:val="28"/>
          <w:szCs w:val="28"/>
        </w:rPr>
      </w:pPr>
      <w:r w:rsidRPr="008A5BB4">
        <w:rPr>
          <w:rFonts w:ascii="仿宋_GB2312" w:eastAsia="仿宋_GB2312" w:hint="eastAsia"/>
          <w:sz w:val="28"/>
          <w:szCs w:val="28"/>
        </w:rPr>
        <w:t>（4）肥料选择。应选用全水溶性肥料，包括大中微量元素水溶肥料、有机水溶肥料、含氨基酸、腐殖酸水溶肥料等。</w:t>
      </w:r>
    </w:p>
    <w:p w14:paraId="50EBF1A7" w14:textId="77777777" w:rsidR="00032CD0" w:rsidRPr="008A5BB4" w:rsidRDefault="00000000">
      <w:pPr>
        <w:adjustRightInd w:val="0"/>
        <w:snapToGrid w:val="0"/>
        <w:spacing w:line="360" w:lineRule="auto"/>
        <w:ind w:firstLineChars="200" w:firstLine="560"/>
        <w:rPr>
          <w:rFonts w:ascii="仿宋_GB2312" w:eastAsia="仿宋_GB2312"/>
          <w:sz w:val="28"/>
          <w:szCs w:val="28"/>
        </w:rPr>
      </w:pPr>
      <w:r w:rsidRPr="008A5BB4">
        <w:rPr>
          <w:rFonts w:ascii="仿宋_GB2312" w:eastAsia="仿宋_GB2312" w:hint="eastAsia"/>
          <w:sz w:val="28"/>
          <w:szCs w:val="28"/>
        </w:rPr>
        <w:t>（5）灌溉施肥的操作。灌溉施肥程序分为3个阶段：第一阶段，选用清水湿润管道5-10分钟；第二阶段，根据不同蔬菜作物施用不同用量、配方的肥料溶液进行灌溉施肥；第三阶段，用不含肥的水清洗灌溉系统5-10分钟。</w:t>
      </w:r>
    </w:p>
    <w:p w14:paraId="06A274A1" w14:textId="77777777" w:rsidR="00032CD0" w:rsidRPr="008A5BB4" w:rsidRDefault="00000000">
      <w:pPr>
        <w:adjustRightInd w:val="0"/>
        <w:snapToGrid w:val="0"/>
        <w:spacing w:line="360" w:lineRule="auto"/>
        <w:ind w:firstLineChars="200" w:firstLine="562"/>
        <w:rPr>
          <w:rFonts w:ascii="仿宋_GB2312" w:eastAsia="仿宋_GB2312"/>
          <w:b/>
          <w:bCs/>
          <w:sz w:val="28"/>
          <w:szCs w:val="28"/>
        </w:rPr>
      </w:pPr>
      <w:r w:rsidRPr="008A5BB4">
        <w:rPr>
          <w:rFonts w:ascii="仿宋_GB2312" w:eastAsia="仿宋_GB2312" w:hint="eastAsia"/>
          <w:b/>
          <w:bCs/>
          <w:sz w:val="28"/>
          <w:szCs w:val="28"/>
        </w:rPr>
        <w:t>3. 土壤保育技术</w:t>
      </w:r>
    </w:p>
    <w:p w14:paraId="2160F99D" w14:textId="77777777" w:rsidR="00032CD0" w:rsidRPr="008A5BB4" w:rsidRDefault="00000000">
      <w:pPr>
        <w:adjustRightInd w:val="0"/>
        <w:snapToGrid w:val="0"/>
        <w:spacing w:line="360" w:lineRule="auto"/>
        <w:ind w:firstLineChars="200" w:firstLine="560"/>
        <w:rPr>
          <w:rFonts w:ascii="仿宋_GB2312" w:eastAsia="仿宋_GB2312"/>
          <w:sz w:val="28"/>
          <w:szCs w:val="28"/>
        </w:rPr>
      </w:pPr>
      <w:r w:rsidRPr="008A5BB4">
        <w:rPr>
          <w:rFonts w:ascii="仿宋_GB2312" w:eastAsia="仿宋_GB2312" w:hint="eastAsia"/>
          <w:sz w:val="28"/>
          <w:szCs w:val="28"/>
        </w:rPr>
        <w:t>（1）有机肥替代化肥技术。增施有机肥料或有机无机复合微生物肥料，</w:t>
      </w:r>
      <w:proofErr w:type="gramStart"/>
      <w:r w:rsidRPr="008A5BB4">
        <w:rPr>
          <w:rFonts w:ascii="仿宋_GB2312" w:eastAsia="仿宋_GB2312" w:hint="eastAsia"/>
          <w:sz w:val="28"/>
          <w:szCs w:val="28"/>
        </w:rPr>
        <w:t>减施/</w:t>
      </w:r>
      <w:proofErr w:type="gramEnd"/>
      <w:r w:rsidRPr="008A5BB4">
        <w:rPr>
          <w:rFonts w:ascii="仿宋_GB2312" w:eastAsia="仿宋_GB2312" w:hint="eastAsia"/>
          <w:sz w:val="28"/>
          <w:szCs w:val="28"/>
        </w:rPr>
        <w:t>不施化肥，种植绿肥、秸秆还田、生物固氮等多元替代化肥，推动有机</w:t>
      </w:r>
      <w:proofErr w:type="gramStart"/>
      <w:r w:rsidRPr="008A5BB4">
        <w:rPr>
          <w:rFonts w:ascii="仿宋_GB2312" w:eastAsia="仿宋_GB2312" w:hint="eastAsia"/>
          <w:sz w:val="28"/>
          <w:szCs w:val="28"/>
        </w:rPr>
        <w:t>无机结合</w:t>
      </w:r>
      <w:proofErr w:type="gramEnd"/>
      <w:r w:rsidRPr="008A5BB4">
        <w:rPr>
          <w:rFonts w:ascii="仿宋_GB2312" w:eastAsia="仿宋_GB2312" w:hint="eastAsia"/>
          <w:sz w:val="28"/>
          <w:szCs w:val="28"/>
        </w:rPr>
        <w:t>,实现菜田土壤有机质提升，化肥减量增效的目的。在中等肥力水平条件下，推荐绿叶蔬菜等短周期</w:t>
      </w:r>
      <w:proofErr w:type="gramStart"/>
      <w:r w:rsidRPr="008A5BB4">
        <w:rPr>
          <w:rFonts w:ascii="仿宋_GB2312" w:eastAsia="仿宋_GB2312" w:hint="eastAsia"/>
          <w:sz w:val="28"/>
          <w:szCs w:val="28"/>
        </w:rPr>
        <w:t>作物每茬施用</w:t>
      </w:r>
      <w:proofErr w:type="gramEnd"/>
      <w:r w:rsidRPr="008A5BB4">
        <w:rPr>
          <w:rFonts w:ascii="仿宋_GB2312" w:eastAsia="仿宋_GB2312" w:hint="eastAsia"/>
          <w:sz w:val="28"/>
          <w:szCs w:val="28"/>
        </w:rPr>
        <w:t>优质商品有机肥300 -500千克/亩，化肥用量减少15%，</w:t>
      </w:r>
      <w:proofErr w:type="gramStart"/>
      <w:r w:rsidRPr="008A5BB4">
        <w:rPr>
          <w:rFonts w:ascii="仿宋_GB2312" w:eastAsia="仿宋_GB2312" w:hint="eastAsia"/>
          <w:sz w:val="28"/>
          <w:szCs w:val="28"/>
        </w:rPr>
        <w:t>年施优质</w:t>
      </w:r>
      <w:proofErr w:type="gramEnd"/>
      <w:r w:rsidRPr="008A5BB4">
        <w:rPr>
          <w:rFonts w:ascii="仿宋_GB2312" w:eastAsia="仿宋_GB2312" w:hint="eastAsia"/>
          <w:sz w:val="28"/>
          <w:szCs w:val="28"/>
        </w:rPr>
        <w:t>有机肥不少于1吨/亩。茄果瓜类等中长周期</w:t>
      </w:r>
      <w:proofErr w:type="gramStart"/>
      <w:r w:rsidRPr="008A5BB4">
        <w:rPr>
          <w:rFonts w:ascii="仿宋_GB2312" w:eastAsia="仿宋_GB2312" w:hint="eastAsia"/>
          <w:sz w:val="28"/>
          <w:szCs w:val="28"/>
        </w:rPr>
        <w:t>作物每茬施用</w:t>
      </w:r>
      <w:proofErr w:type="gramEnd"/>
      <w:r w:rsidRPr="008A5BB4">
        <w:rPr>
          <w:rFonts w:ascii="仿宋_GB2312" w:eastAsia="仿宋_GB2312" w:hint="eastAsia"/>
          <w:sz w:val="28"/>
          <w:szCs w:val="28"/>
        </w:rPr>
        <w:t>优质有机肥不少于1吨/亩，化肥施用量减少15%-20%。土壤肥力水平较差</w:t>
      </w:r>
      <w:r w:rsidRPr="008A5BB4">
        <w:rPr>
          <w:rFonts w:ascii="仿宋_GB2312" w:eastAsia="仿宋_GB2312" w:hint="eastAsia"/>
          <w:sz w:val="28"/>
          <w:szCs w:val="28"/>
        </w:rPr>
        <w:lastRenderedPageBreak/>
        <w:t>或稻田等改种蔬菜的田块，应增加有机肥使用量50%-100%。</w:t>
      </w:r>
    </w:p>
    <w:p w14:paraId="2054CD8F" w14:textId="77777777" w:rsidR="00032CD0" w:rsidRPr="008A5BB4" w:rsidRDefault="00000000">
      <w:pPr>
        <w:adjustRightInd w:val="0"/>
        <w:snapToGrid w:val="0"/>
        <w:spacing w:line="360" w:lineRule="auto"/>
        <w:ind w:firstLineChars="200" w:firstLine="560"/>
        <w:rPr>
          <w:rFonts w:ascii="仿宋_GB2312" w:eastAsia="仿宋_GB2312"/>
          <w:sz w:val="28"/>
          <w:szCs w:val="28"/>
        </w:rPr>
      </w:pPr>
      <w:r w:rsidRPr="008A5BB4">
        <w:rPr>
          <w:rFonts w:ascii="仿宋_GB2312" w:eastAsia="仿宋_GB2312" w:hint="eastAsia"/>
          <w:sz w:val="28"/>
          <w:szCs w:val="28"/>
        </w:rPr>
        <w:t>（2）微生物菌肥增施增效技术。增施微生物菌剂、复合微生物肥料、生物</w:t>
      </w:r>
      <w:proofErr w:type="gramStart"/>
      <w:r w:rsidRPr="008A5BB4">
        <w:rPr>
          <w:rFonts w:ascii="仿宋_GB2312" w:eastAsia="仿宋_GB2312" w:hint="eastAsia"/>
          <w:sz w:val="28"/>
          <w:szCs w:val="28"/>
        </w:rPr>
        <w:t>炭肥及</w:t>
      </w:r>
      <w:proofErr w:type="gramEnd"/>
      <w:r w:rsidRPr="008A5BB4">
        <w:rPr>
          <w:rFonts w:ascii="仿宋_GB2312" w:eastAsia="仿宋_GB2312" w:hint="eastAsia"/>
          <w:sz w:val="28"/>
          <w:szCs w:val="28"/>
        </w:rPr>
        <w:t>土壤调理剂等，提高土壤养分离子活性，增加土壤有效养分含量，改善土壤理化性状，提升土壤质量。针对菜田土壤连作障碍、地力退化和次生盐渍化等问题，选用复合微生物肥料、微生物菌剂、土壤调理剂等产品，针对性地开展微生物修复改良土壤。建议春秋两季施用，用量用法参考产品施用说明。</w:t>
      </w:r>
    </w:p>
    <w:p w14:paraId="705EB266" w14:textId="3A2FA8BA" w:rsidR="00032CD0" w:rsidRPr="008A5BB4" w:rsidRDefault="00000000">
      <w:pPr>
        <w:adjustRightInd w:val="0"/>
        <w:snapToGrid w:val="0"/>
        <w:spacing w:line="360" w:lineRule="auto"/>
        <w:ind w:firstLineChars="200" w:firstLine="560"/>
        <w:rPr>
          <w:rFonts w:ascii="仿宋_GB2312" w:eastAsia="仿宋_GB2312"/>
          <w:sz w:val="28"/>
          <w:szCs w:val="28"/>
        </w:rPr>
      </w:pPr>
      <w:r w:rsidRPr="008A5BB4">
        <w:rPr>
          <w:rFonts w:ascii="仿宋_GB2312" w:eastAsia="仿宋_GB2312" w:hint="eastAsia"/>
          <w:sz w:val="28"/>
          <w:szCs w:val="28"/>
        </w:rPr>
        <w:t>（3）</w:t>
      </w:r>
      <w:proofErr w:type="gramStart"/>
      <w:r w:rsidRPr="008A5BB4">
        <w:rPr>
          <w:rFonts w:ascii="仿宋_GB2312" w:eastAsia="仿宋_GB2312" w:hint="eastAsia"/>
          <w:sz w:val="28"/>
          <w:szCs w:val="28"/>
        </w:rPr>
        <w:t>高温闷棚土壤消毒</w:t>
      </w:r>
      <w:proofErr w:type="gramEnd"/>
      <w:r w:rsidRPr="008A5BB4">
        <w:rPr>
          <w:rFonts w:ascii="仿宋_GB2312" w:eastAsia="仿宋_GB2312" w:hint="eastAsia"/>
          <w:sz w:val="28"/>
          <w:szCs w:val="28"/>
        </w:rPr>
        <w:t>技术。通过</w:t>
      </w:r>
      <w:proofErr w:type="gramStart"/>
      <w:r w:rsidRPr="008A5BB4">
        <w:rPr>
          <w:rFonts w:ascii="仿宋_GB2312" w:eastAsia="仿宋_GB2312" w:hint="eastAsia"/>
          <w:sz w:val="28"/>
          <w:szCs w:val="28"/>
        </w:rPr>
        <w:t>高温闷棚土壤消毒</w:t>
      </w:r>
      <w:proofErr w:type="gramEnd"/>
      <w:r w:rsidRPr="008A5BB4">
        <w:rPr>
          <w:rFonts w:ascii="仿宋_GB2312" w:eastAsia="仿宋_GB2312" w:hint="eastAsia"/>
          <w:sz w:val="28"/>
          <w:szCs w:val="28"/>
        </w:rPr>
        <w:t>处理，可有效杀灭土传病虫害发生，降低土壤可溶性盐分含量，改善土壤性状，达到杀灭地下害虫、病菌，恢复土壤地力的目的。一般选择6月中下旬至8月下旬温度较高的作物休耕期。前茬作物收获后，将植株残体和田间杂草清除出田块集中处理。然后将作物秸秆等有机物料均匀地铺撒在棚室内的土壤表面。在土壤表面均匀撒施土壤消毒剂后机械旋耕，整地做平畦四周起垄，</w:t>
      </w:r>
      <w:proofErr w:type="gramStart"/>
      <w:r w:rsidRPr="008A5BB4">
        <w:rPr>
          <w:rFonts w:ascii="仿宋_GB2312" w:eastAsia="仿宋_GB2312" w:hint="eastAsia"/>
          <w:sz w:val="28"/>
          <w:szCs w:val="28"/>
        </w:rPr>
        <w:t>对棚室内</w:t>
      </w:r>
      <w:proofErr w:type="gramEnd"/>
      <w:r w:rsidRPr="008A5BB4">
        <w:rPr>
          <w:rFonts w:ascii="仿宋_GB2312" w:eastAsia="仿宋_GB2312" w:hint="eastAsia"/>
          <w:sz w:val="28"/>
          <w:szCs w:val="28"/>
        </w:rPr>
        <w:t>土壤进行灌水至齐</w:t>
      </w:r>
      <w:proofErr w:type="gramStart"/>
      <w:r w:rsidRPr="008A5BB4">
        <w:rPr>
          <w:rFonts w:ascii="仿宋_GB2312" w:eastAsia="仿宋_GB2312" w:hint="eastAsia"/>
          <w:sz w:val="28"/>
          <w:szCs w:val="28"/>
        </w:rPr>
        <w:t>垄</w:t>
      </w:r>
      <w:proofErr w:type="gramEnd"/>
      <w:r w:rsidRPr="008A5BB4">
        <w:rPr>
          <w:rFonts w:ascii="仿宋_GB2312" w:eastAsia="仿宋_GB2312" w:hint="eastAsia"/>
          <w:sz w:val="28"/>
          <w:szCs w:val="28"/>
        </w:rPr>
        <w:t>。用塑料薄膜进行地面全覆盖，然后密闭大棚，晴热天气累计保持10-15天，期间若缺水应及时补水，保持土壤始终处于淹水状态。</w:t>
      </w:r>
      <w:proofErr w:type="gramStart"/>
      <w:r w:rsidRPr="008A5BB4">
        <w:rPr>
          <w:rFonts w:ascii="仿宋_GB2312" w:eastAsia="仿宋_GB2312" w:hint="eastAsia"/>
          <w:sz w:val="28"/>
          <w:szCs w:val="28"/>
        </w:rPr>
        <w:t>闷棚结束</w:t>
      </w:r>
      <w:proofErr w:type="gramEnd"/>
      <w:r w:rsidRPr="008A5BB4">
        <w:rPr>
          <w:rFonts w:ascii="仿宋_GB2312" w:eastAsia="仿宋_GB2312" w:hint="eastAsia"/>
          <w:sz w:val="28"/>
          <w:szCs w:val="28"/>
        </w:rPr>
        <w:t>之后通风晾晒2-3天，然后翻耕投产。</w:t>
      </w:r>
    </w:p>
    <w:p w14:paraId="7BEEEFE2" w14:textId="77777777" w:rsidR="00032CD0" w:rsidRPr="008A5BB4" w:rsidRDefault="00000000">
      <w:pPr>
        <w:adjustRightInd w:val="0"/>
        <w:snapToGrid w:val="0"/>
        <w:spacing w:line="360" w:lineRule="auto"/>
        <w:ind w:firstLineChars="200" w:firstLine="560"/>
        <w:rPr>
          <w:rFonts w:ascii="仿宋_GB2312" w:eastAsia="仿宋_GB2312"/>
          <w:sz w:val="28"/>
          <w:szCs w:val="28"/>
        </w:rPr>
      </w:pPr>
      <w:r w:rsidRPr="008A5BB4">
        <w:rPr>
          <w:rFonts w:ascii="仿宋_GB2312" w:eastAsia="仿宋_GB2312" w:hint="eastAsia"/>
          <w:sz w:val="28"/>
          <w:szCs w:val="28"/>
        </w:rPr>
        <w:t>（4）土壤地力评估与推荐施肥。根据蔬菜作物需肥规律、土壤供肥性能、肥料利用率等，在合理施用有机肥料的基础上，制定科学合理的大量元素和中微量元素施用配方，包括施肥数量、施用时期和施用方法。通过测定和评估土壤地力，根据作物生长需求，制定施肥方案，作物缺什么元素就补什么元素，需要多少就补多少，实现各种养分平衡供应，满足作物生长需求，达到减肥、减药、省工、节本、增效、减少面源污染、保护生态环境的目的。</w:t>
      </w:r>
    </w:p>
    <w:p w14:paraId="1875A29F" w14:textId="77777777" w:rsidR="00032CD0" w:rsidRPr="008A5BB4" w:rsidRDefault="00000000">
      <w:pPr>
        <w:adjustRightInd w:val="0"/>
        <w:snapToGrid w:val="0"/>
        <w:spacing w:line="360" w:lineRule="auto"/>
        <w:ind w:firstLineChars="200" w:firstLine="562"/>
        <w:rPr>
          <w:rFonts w:ascii="仿宋_GB2312" w:eastAsia="仿宋_GB2312"/>
          <w:b/>
          <w:bCs/>
          <w:sz w:val="28"/>
          <w:szCs w:val="28"/>
        </w:rPr>
      </w:pPr>
      <w:r w:rsidRPr="008A5BB4">
        <w:rPr>
          <w:rFonts w:ascii="仿宋_GB2312" w:eastAsia="仿宋_GB2312" w:hint="eastAsia"/>
          <w:b/>
          <w:bCs/>
          <w:sz w:val="28"/>
          <w:szCs w:val="28"/>
        </w:rPr>
        <w:t>4. 农业废弃物综合利用技术</w:t>
      </w:r>
    </w:p>
    <w:p w14:paraId="73EC686D" w14:textId="77777777" w:rsidR="00032CD0" w:rsidRPr="008A5BB4" w:rsidRDefault="00000000">
      <w:pPr>
        <w:adjustRightInd w:val="0"/>
        <w:snapToGrid w:val="0"/>
        <w:spacing w:line="360" w:lineRule="auto"/>
        <w:ind w:firstLineChars="200" w:firstLine="560"/>
        <w:rPr>
          <w:rFonts w:ascii="仿宋_GB2312" w:eastAsia="仿宋_GB2312"/>
          <w:sz w:val="28"/>
          <w:szCs w:val="28"/>
        </w:rPr>
      </w:pPr>
      <w:r w:rsidRPr="008A5BB4">
        <w:rPr>
          <w:rFonts w:ascii="仿宋_GB2312" w:eastAsia="仿宋_GB2312" w:hint="eastAsia"/>
          <w:sz w:val="28"/>
          <w:szCs w:val="28"/>
        </w:rPr>
        <w:lastRenderedPageBreak/>
        <w:t>（1）农业废弃物好氧堆肥技术。在人工或智能控制的温度、湿度、碳氮比和通风条件下（如目前较为普遍使用的微</w:t>
      </w:r>
      <w:proofErr w:type="gramStart"/>
      <w:r w:rsidRPr="008A5BB4">
        <w:rPr>
          <w:rFonts w:ascii="仿宋_GB2312" w:eastAsia="仿宋_GB2312" w:hint="eastAsia"/>
          <w:sz w:val="28"/>
          <w:szCs w:val="28"/>
        </w:rPr>
        <w:t>秸宝智能</w:t>
      </w:r>
      <w:proofErr w:type="gramEnd"/>
      <w:r w:rsidRPr="008A5BB4">
        <w:rPr>
          <w:rFonts w:ascii="仿宋_GB2312" w:eastAsia="仿宋_GB2312" w:hint="eastAsia"/>
          <w:sz w:val="28"/>
          <w:szCs w:val="28"/>
        </w:rPr>
        <w:t>堆肥处理系统可实现自动曝气，智能控制），利用微生物的作用，将农业废弃物进行矿质化、腐殖化和无害化而变成腐熟肥料，使各种复杂的有机态养分，转化为可被植物吸收利用的有效态氮、磷、钾养分和腐殖质，同时利用堆肥所产生的高温（60-70℃）来杀死原材料中所带来的病菌、虫卵和杂草种子，达到无害化的目的。</w:t>
      </w:r>
    </w:p>
    <w:p w14:paraId="4F6F266B" w14:textId="77777777" w:rsidR="00032CD0" w:rsidRPr="008A5BB4" w:rsidRDefault="00000000">
      <w:pPr>
        <w:adjustRightInd w:val="0"/>
        <w:snapToGrid w:val="0"/>
        <w:spacing w:line="360" w:lineRule="auto"/>
        <w:ind w:firstLineChars="200" w:firstLine="560"/>
        <w:rPr>
          <w:rFonts w:ascii="仿宋_GB2312" w:eastAsia="仿宋_GB2312"/>
          <w:sz w:val="28"/>
          <w:szCs w:val="28"/>
        </w:rPr>
      </w:pPr>
      <w:r w:rsidRPr="008A5BB4">
        <w:rPr>
          <w:rFonts w:ascii="仿宋_GB2312" w:eastAsia="仿宋_GB2312" w:hint="eastAsia"/>
          <w:sz w:val="28"/>
          <w:szCs w:val="28"/>
        </w:rPr>
        <w:t>堆肥地点选择通风良好，地势较高、利于排水的地方，搭建遮挡蓬防日晒雨淋，堆肥主料为蔬菜废弃物，辅料为猪、牛、鸡粪等畜禽粪便和菌剂。番茄、黄瓜等蔬菜藤蔓，芦笋茎杆等木质化程度较高的废弃</w:t>
      </w:r>
      <w:proofErr w:type="gramStart"/>
      <w:r w:rsidRPr="008A5BB4">
        <w:rPr>
          <w:rFonts w:ascii="仿宋_GB2312" w:eastAsia="仿宋_GB2312" w:hint="eastAsia"/>
          <w:sz w:val="28"/>
          <w:szCs w:val="28"/>
        </w:rPr>
        <w:t>物料需</w:t>
      </w:r>
      <w:proofErr w:type="gramEnd"/>
      <w:r w:rsidRPr="008A5BB4">
        <w:rPr>
          <w:rFonts w:ascii="仿宋_GB2312" w:eastAsia="仿宋_GB2312" w:hint="eastAsia"/>
          <w:sz w:val="28"/>
          <w:szCs w:val="28"/>
        </w:rPr>
        <w:t>先用粉碎机粉碎，长度2-5厘米为宜。由于蔬菜废弃物的含水率和成份均有差异，畜禽粪便与蔬菜废弃物配比一般为3:7或4:6，另可添加堆体质量0.1%-0.3%的微生物菌剂。一般采用</w:t>
      </w:r>
      <w:proofErr w:type="gramStart"/>
      <w:r w:rsidRPr="008A5BB4">
        <w:rPr>
          <w:rFonts w:ascii="仿宋_GB2312" w:eastAsia="仿宋_GB2312" w:hint="eastAsia"/>
          <w:sz w:val="28"/>
          <w:szCs w:val="28"/>
        </w:rPr>
        <w:t>条垛式</w:t>
      </w:r>
      <w:proofErr w:type="gramEnd"/>
      <w:r w:rsidRPr="008A5BB4">
        <w:rPr>
          <w:rFonts w:ascii="仿宋_GB2312" w:eastAsia="仿宋_GB2312" w:hint="eastAsia"/>
          <w:sz w:val="28"/>
          <w:szCs w:val="28"/>
        </w:rPr>
        <w:t>堆肥，人工或机械进行翻堆，保持堆体内有氧状态，</w:t>
      </w:r>
      <w:proofErr w:type="gramStart"/>
      <w:r w:rsidRPr="008A5BB4">
        <w:rPr>
          <w:rFonts w:ascii="仿宋_GB2312" w:eastAsia="仿宋_GB2312" w:hint="eastAsia"/>
          <w:sz w:val="28"/>
          <w:szCs w:val="28"/>
        </w:rPr>
        <w:t>条垛</w:t>
      </w:r>
      <w:proofErr w:type="gramEnd"/>
      <w:r w:rsidRPr="008A5BB4">
        <w:rPr>
          <w:rFonts w:ascii="仿宋_GB2312" w:eastAsia="仿宋_GB2312" w:hint="eastAsia"/>
          <w:sz w:val="28"/>
          <w:szCs w:val="28"/>
        </w:rPr>
        <w:t>3-5米宽、2-3米高。根据不同堆肥时期和堆体温</w:t>
      </w:r>
      <w:proofErr w:type="gramStart"/>
      <w:r w:rsidRPr="008A5BB4">
        <w:rPr>
          <w:rFonts w:ascii="仿宋_GB2312" w:eastAsia="仿宋_GB2312" w:hint="eastAsia"/>
          <w:sz w:val="28"/>
          <w:szCs w:val="28"/>
        </w:rPr>
        <w:t>度及时</w:t>
      </w:r>
      <w:proofErr w:type="gramEnd"/>
      <w:r w:rsidRPr="008A5BB4">
        <w:rPr>
          <w:rFonts w:ascii="仿宋_GB2312" w:eastAsia="仿宋_GB2312" w:hint="eastAsia"/>
          <w:sz w:val="28"/>
          <w:szCs w:val="28"/>
        </w:rPr>
        <w:t>翻堆。堆肥升温期，堆体内部温度首次上升至55℃时翻堆一次。堆肥高温期，堆体内部温度保持在60-70℃，每3天翻堆一次。</w:t>
      </w:r>
      <w:proofErr w:type="gramStart"/>
      <w:r w:rsidRPr="008A5BB4">
        <w:rPr>
          <w:rFonts w:ascii="仿宋_GB2312" w:eastAsia="仿宋_GB2312" w:hint="eastAsia"/>
          <w:sz w:val="28"/>
          <w:szCs w:val="28"/>
        </w:rPr>
        <w:t>当堆体温</w:t>
      </w:r>
      <w:proofErr w:type="gramEnd"/>
      <w:r w:rsidRPr="008A5BB4">
        <w:rPr>
          <w:rFonts w:ascii="仿宋_GB2312" w:eastAsia="仿宋_GB2312" w:hint="eastAsia"/>
          <w:sz w:val="28"/>
          <w:szCs w:val="28"/>
        </w:rPr>
        <w:t>度超过70℃时应及时翻堆，并控制水分。温度在70℃以上保持24小时，即可达到无害化目的。</w:t>
      </w:r>
      <w:proofErr w:type="gramStart"/>
      <w:r w:rsidRPr="008A5BB4">
        <w:rPr>
          <w:rFonts w:ascii="仿宋_GB2312" w:eastAsia="仿宋_GB2312" w:hint="eastAsia"/>
          <w:sz w:val="28"/>
          <w:szCs w:val="28"/>
        </w:rPr>
        <w:t>当堆体温</w:t>
      </w:r>
      <w:proofErr w:type="gramEnd"/>
      <w:r w:rsidRPr="008A5BB4">
        <w:rPr>
          <w:rFonts w:ascii="仿宋_GB2312" w:eastAsia="仿宋_GB2312" w:hint="eastAsia"/>
          <w:sz w:val="28"/>
          <w:szCs w:val="28"/>
        </w:rPr>
        <w:t>度下降至35℃以下，且连续两天温度差不超过±2℃时，堆肥结束，肥料经检测合格后即可还田使用。</w:t>
      </w:r>
    </w:p>
    <w:p w14:paraId="7621A46B" w14:textId="5168C63E" w:rsidR="00032CD0" w:rsidRDefault="00000000">
      <w:pPr>
        <w:adjustRightInd w:val="0"/>
        <w:snapToGrid w:val="0"/>
        <w:spacing w:line="360" w:lineRule="auto"/>
        <w:ind w:firstLineChars="200" w:firstLine="560"/>
        <w:rPr>
          <w:rFonts w:ascii="仿宋_GB2312" w:eastAsia="仿宋_GB2312"/>
          <w:sz w:val="32"/>
          <w:szCs w:val="32"/>
        </w:rPr>
      </w:pPr>
      <w:r w:rsidRPr="008A5BB4">
        <w:rPr>
          <w:rFonts w:ascii="仿宋_GB2312" w:eastAsia="仿宋_GB2312" w:hint="eastAsia"/>
          <w:sz w:val="28"/>
          <w:szCs w:val="28"/>
        </w:rPr>
        <w:t>（2）农业废弃物微生物处理设备堆肥技术。使用农业废弃物预处理机和废弃物微生物处理机来进行蔬菜废弃物的处置。第一步，将蔬菜废弃物进行预处理，碎化物料至直径2-3</w:t>
      </w:r>
      <w:r w:rsidR="00555C03">
        <w:rPr>
          <w:rFonts w:ascii="仿宋_GB2312" w:eastAsia="仿宋_GB2312" w:hint="eastAsia"/>
          <w:sz w:val="28"/>
          <w:szCs w:val="28"/>
        </w:rPr>
        <w:t xml:space="preserve"> </w:t>
      </w:r>
      <w:r w:rsidRPr="008A5BB4">
        <w:rPr>
          <w:rFonts w:ascii="仿宋_GB2312" w:eastAsia="仿宋_GB2312" w:hint="eastAsia"/>
          <w:sz w:val="28"/>
          <w:szCs w:val="28"/>
        </w:rPr>
        <w:t>cm，并且挤压脱水至含水量60%-70%；第二步，在密闭仓体内，高温（80-90℃）高压条件下持续处理1小时，进行湿热除菌；第三步，在50-60℃下，持续供</w:t>
      </w:r>
      <w:r w:rsidRPr="008A5BB4">
        <w:rPr>
          <w:rFonts w:ascii="仿宋_GB2312" w:eastAsia="仿宋_GB2312" w:hint="eastAsia"/>
          <w:sz w:val="28"/>
          <w:szCs w:val="28"/>
        </w:rPr>
        <w:lastRenderedPageBreak/>
        <w:t>氧保持好氧条件，间歇搅拌（搅拌15分钟、静置15分钟），持续8小时，进行微生物的扩培；第四步：在60-70℃条件下，持续供氧，间歇搅拌（搅拌10分钟、静置20分钟），持续12小时，将物料定向腐殖化；第五步，关闭进风，持续抽风，保持仓体内负压低氧条件，间歇搅拌（搅拌10分钟、静置10分钟），持续2-3小时，最后出料得到腐殖化产物</w:t>
      </w:r>
      <w:r>
        <w:rPr>
          <w:rFonts w:ascii="仿宋_GB2312" w:eastAsia="仿宋_GB2312" w:hint="eastAsia"/>
          <w:sz w:val="32"/>
          <w:szCs w:val="32"/>
        </w:rPr>
        <w:t>。</w:t>
      </w:r>
    </w:p>
    <w:p w14:paraId="03AD9D01" w14:textId="24D81359" w:rsidR="00032CD0" w:rsidRDefault="00000000">
      <w:pPr>
        <w:adjustRightInd w:val="0"/>
        <w:snapToGrid w:val="0"/>
        <w:spacing w:line="600" w:lineRule="exact"/>
        <w:ind w:firstLine="640"/>
        <w:rPr>
          <w:rFonts w:ascii="Times New Roman" w:eastAsia="黑体" w:hAnsi="Times New Roman"/>
          <w:color w:val="000000" w:themeColor="text1"/>
          <w:sz w:val="28"/>
          <w:szCs w:val="28"/>
        </w:rPr>
      </w:pPr>
      <w:r>
        <w:rPr>
          <w:rFonts w:ascii="Times New Roman" w:eastAsia="黑体" w:hAnsi="Times New Roman"/>
          <w:color w:val="000000" w:themeColor="text1"/>
          <w:sz w:val="32"/>
          <w:szCs w:val="32"/>
        </w:rPr>
        <w:t>三、适宜区域</w:t>
      </w:r>
    </w:p>
    <w:p w14:paraId="366CD3DB" w14:textId="77777777" w:rsidR="00032CD0" w:rsidRPr="008A5BB4" w:rsidRDefault="00000000">
      <w:pPr>
        <w:ind w:firstLineChars="200" w:firstLine="560"/>
        <w:rPr>
          <w:rFonts w:ascii="仿宋" w:eastAsia="仿宋" w:hAnsi="仿宋" w:cs="仿宋"/>
          <w:bCs/>
          <w:sz w:val="28"/>
          <w:szCs w:val="28"/>
        </w:rPr>
      </w:pPr>
      <w:r w:rsidRPr="008A5BB4">
        <w:rPr>
          <w:rFonts w:ascii="仿宋" w:eastAsia="仿宋" w:hAnsi="仿宋" w:cs="仿宋" w:hint="eastAsia"/>
          <w:bCs/>
          <w:sz w:val="28"/>
          <w:szCs w:val="28"/>
        </w:rPr>
        <w:t>该技术适宜在上海地区以及周边气候相近的区域推广。</w:t>
      </w:r>
    </w:p>
    <w:p w14:paraId="08083DA5" w14:textId="0703712C" w:rsidR="00032CD0" w:rsidRDefault="00000000">
      <w:pPr>
        <w:adjustRightInd w:val="0"/>
        <w:snapToGrid w:val="0"/>
        <w:spacing w:line="600" w:lineRule="exact"/>
        <w:ind w:firstLine="640"/>
        <w:rPr>
          <w:rFonts w:ascii="Times New Roman" w:eastAsia="黑体" w:hAnsi="Times New Roman"/>
          <w:color w:val="000000" w:themeColor="text1"/>
          <w:sz w:val="28"/>
          <w:szCs w:val="28"/>
        </w:rPr>
      </w:pPr>
      <w:r>
        <w:rPr>
          <w:rFonts w:ascii="Times New Roman" w:eastAsia="黑体" w:hAnsi="Times New Roman"/>
          <w:color w:val="000000" w:themeColor="text1"/>
          <w:sz w:val="32"/>
          <w:szCs w:val="32"/>
        </w:rPr>
        <w:t>四、注意事项</w:t>
      </w:r>
    </w:p>
    <w:p w14:paraId="3F31A88D" w14:textId="171D1A26" w:rsidR="00032CD0" w:rsidRPr="008A5BB4" w:rsidRDefault="00000000">
      <w:pPr>
        <w:ind w:firstLineChars="200" w:firstLine="560"/>
        <w:rPr>
          <w:rFonts w:ascii="仿宋_GB2312" w:eastAsia="仿宋_GB2312"/>
          <w:sz w:val="28"/>
          <w:szCs w:val="28"/>
        </w:rPr>
      </w:pPr>
      <w:r w:rsidRPr="008A5BB4">
        <w:rPr>
          <w:rFonts w:ascii="仿宋_GB2312" w:eastAsia="仿宋_GB2312" w:hint="eastAsia"/>
          <w:sz w:val="28"/>
          <w:szCs w:val="28"/>
        </w:rPr>
        <w:t>1</w:t>
      </w:r>
      <w:r w:rsidR="008A5BB4">
        <w:rPr>
          <w:rFonts w:ascii="仿宋_GB2312" w:eastAsia="仿宋_GB2312" w:hint="eastAsia"/>
          <w:sz w:val="28"/>
          <w:szCs w:val="28"/>
        </w:rPr>
        <w:t>.</w:t>
      </w:r>
      <w:r w:rsidRPr="008A5BB4">
        <w:rPr>
          <w:rFonts w:ascii="仿宋_GB2312" w:eastAsia="仿宋_GB2312" w:hint="eastAsia"/>
          <w:sz w:val="28"/>
          <w:szCs w:val="28"/>
        </w:rPr>
        <w:t>加强培训指导。农技推广相关部门围绕绿色生产整体要求和关键技术等相关内容组织专家开展巡回指导。要根据生产特点，在关键时期、关键节点开展现场指导、培训和技术服务，确保实施到位。</w:t>
      </w:r>
    </w:p>
    <w:p w14:paraId="6F1BF93E" w14:textId="353706AA" w:rsidR="00032CD0" w:rsidRPr="008A5BB4" w:rsidRDefault="00000000">
      <w:pPr>
        <w:ind w:firstLineChars="200" w:firstLine="560"/>
        <w:rPr>
          <w:rFonts w:ascii="仿宋_GB2312" w:eastAsia="仿宋_GB2312"/>
          <w:sz w:val="28"/>
          <w:szCs w:val="28"/>
        </w:rPr>
      </w:pPr>
      <w:r w:rsidRPr="008A5BB4">
        <w:rPr>
          <w:rFonts w:ascii="仿宋_GB2312" w:eastAsia="仿宋_GB2312" w:hint="eastAsia"/>
          <w:sz w:val="28"/>
          <w:szCs w:val="28"/>
        </w:rPr>
        <w:t>2</w:t>
      </w:r>
      <w:r w:rsidR="008A5BB4">
        <w:rPr>
          <w:rFonts w:ascii="仿宋_GB2312" w:eastAsia="仿宋_GB2312" w:hint="eastAsia"/>
          <w:sz w:val="28"/>
          <w:szCs w:val="28"/>
        </w:rPr>
        <w:t>.</w:t>
      </w:r>
      <w:r w:rsidRPr="008A5BB4">
        <w:rPr>
          <w:rFonts w:ascii="仿宋_GB2312" w:eastAsia="仿宋_GB2312" w:hint="eastAsia"/>
          <w:sz w:val="28"/>
          <w:szCs w:val="28"/>
        </w:rPr>
        <w:t>加强档案管理。各单位、各基地在推进蔬菜绿色生产工作的过程中要加强原始档案的记录，特别是记录台账要做到基地全覆盖，所有档案确保准确、真实。</w:t>
      </w:r>
    </w:p>
    <w:p w14:paraId="1F35BF6E" w14:textId="077CD95B" w:rsidR="00032CD0" w:rsidRDefault="00000000">
      <w:pPr>
        <w:snapToGrid w:val="0"/>
        <w:spacing w:line="560" w:lineRule="exact"/>
        <w:ind w:firstLineChars="200" w:firstLine="640"/>
        <w:rPr>
          <w:rFonts w:ascii="Times New Roman" w:eastAsia="黑体" w:hAnsi="Times New Roman"/>
          <w:color w:val="000000" w:themeColor="text1"/>
          <w:sz w:val="28"/>
          <w:szCs w:val="28"/>
        </w:rPr>
      </w:pPr>
      <w:r>
        <w:rPr>
          <w:rFonts w:ascii="Times New Roman" w:eastAsia="黑体" w:hAnsi="Times New Roman"/>
          <w:color w:val="000000" w:themeColor="text1"/>
          <w:sz w:val="32"/>
          <w:szCs w:val="32"/>
        </w:rPr>
        <w:t>五、技术依托单位</w:t>
      </w:r>
    </w:p>
    <w:p w14:paraId="7A43A038" w14:textId="77777777" w:rsidR="00032CD0" w:rsidRPr="008A5BB4" w:rsidRDefault="00000000">
      <w:pPr>
        <w:ind w:firstLineChars="200" w:firstLine="560"/>
        <w:rPr>
          <w:rFonts w:ascii="仿宋_GB2312" w:eastAsia="仿宋_GB2312"/>
          <w:sz w:val="28"/>
          <w:szCs w:val="28"/>
        </w:rPr>
      </w:pPr>
      <w:r w:rsidRPr="008A5BB4">
        <w:rPr>
          <w:rFonts w:ascii="仿宋_GB2312" w:eastAsia="仿宋_GB2312" w:hint="eastAsia"/>
          <w:sz w:val="28"/>
          <w:szCs w:val="28"/>
        </w:rPr>
        <w:t>1.单位名称：上海市农业技术推广服务中心</w:t>
      </w:r>
    </w:p>
    <w:p w14:paraId="0F667377" w14:textId="77777777" w:rsidR="00032CD0" w:rsidRPr="008A5BB4" w:rsidRDefault="00000000">
      <w:pPr>
        <w:ind w:firstLineChars="200" w:firstLine="560"/>
        <w:rPr>
          <w:rFonts w:ascii="仿宋_GB2312" w:eastAsia="仿宋_GB2312"/>
          <w:sz w:val="28"/>
          <w:szCs w:val="28"/>
        </w:rPr>
      </w:pPr>
      <w:r w:rsidRPr="008A5BB4">
        <w:rPr>
          <w:rFonts w:ascii="仿宋_GB2312" w:eastAsia="仿宋_GB2312" w:hint="eastAsia"/>
          <w:sz w:val="28"/>
          <w:szCs w:val="28"/>
        </w:rPr>
        <w:t>联系地址：上海市闵行区吴中路628号</w:t>
      </w:r>
    </w:p>
    <w:p w14:paraId="68685E17" w14:textId="77777777" w:rsidR="00032CD0" w:rsidRPr="008A5BB4" w:rsidRDefault="00000000">
      <w:pPr>
        <w:ind w:firstLineChars="200" w:firstLine="560"/>
        <w:rPr>
          <w:rFonts w:ascii="仿宋_GB2312" w:eastAsia="仿宋_GB2312"/>
          <w:sz w:val="28"/>
          <w:szCs w:val="28"/>
        </w:rPr>
      </w:pPr>
      <w:r w:rsidRPr="008A5BB4">
        <w:rPr>
          <w:rFonts w:ascii="仿宋_GB2312" w:eastAsia="仿宋_GB2312" w:hint="eastAsia"/>
          <w:sz w:val="28"/>
          <w:szCs w:val="28"/>
        </w:rPr>
        <w:t>邮编：201103</w:t>
      </w:r>
    </w:p>
    <w:p w14:paraId="06EE8B99" w14:textId="77777777" w:rsidR="00032CD0" w:rsidRPr="008A5BB4" w:rsidRDefault="00000000">
      <w:pPr>
        <w:ind w:firstLineChars="200" w:firstLine="560"/>
        <w:rPr>
          <w:rFonts w:ascii="仿宋_GB2312" w:eastAsia="仿宋_GB2312"/>
          <w:sz w:val="28"/>
          <w:szCs w:val="28"/>
        </w:rPr>
      </w:pPr>
      <w:r w:rsidRPr="008A5BB4">
        <w:rPr>
          <w:rFonts w:ascii="仿宋_GB2312" w:eastAsia="仿宋_GB2312" w:hint="eastAsia"/>
          <w:sz w:val="28"/>
          <w:szCs w:val="28"/>
        </w:rPr>
        <w:t>联系人：王齐旭</w:t>
      </w:r>
    </w:p>
    <w:p w14:paraId="086E2E00" w14:textId="77777777" w:rsidR="00032CD0" w:rsidRPr="008A5BB4" w:rsidRDefault="00000000">
      <w:pPr>
        <w:ind w:firstLineChars="200" w:firstLine="560"/>
        <w:rPr>
          <w:rFonts w:ascii="仿宋_GB2312" w:eastAsia="仿宋_GB2312"/>
          <w:sz w:val="28"/>
          <w:szCs w:val="28"/>
        </w:rPr>
      </w:pPr>
      <w:r w:rsidRPr="008A5BB4">
        <w:rPr>
          <w:rFonts w:ascii="仿宋_GB2312" w:eastAsia="仿宋_GB2312" w:hint="eastAsia"/>
          <w:sz w:val="28"/>
          <w:szCs w:val="28"/>
        </w:rPr>
        <w:t>联系电话：021-24283463、18602157164</w:t>
      </w:r>
    </w:p>
    <w:p w14:paraId="05E75912" w14:textId="77777777" w:rsidR="00032CD0" w:rsidRPr="008A5BB4" w:rsidRDefault="00000000">
      <w:pPr>
        <w:ind w:firstLineChars="200" w:firstLine="560"/>
        <w:rPr>
          <w:rFonts w:ascii="PingFang SC" w:eastAsia="宋体" w:hAnsi="PingFang SC" w:cs="宋体" w:hint="eastAsia"/>
          <w:color w:val="222222"/>
          <w:spacing w:val="8"/>
          <w:kern w:val="0"/>
          <w:sz w:val="28"/>
          <w:szCs w:val="28"/>
        </w:rPr>
      </w:pPr>
      <w:r w:rsidRPr="008A5BB4">
        <w:rPr>
          <w:rFonts w:ascii="仿宋_GB2312" w:eastAsia="仿宋_GB2312" w:hint="eastAsia"/>
          <w:sz w:val="28"/>
          <w:szCs w:val="28"/>
        </w:rPr>
        <w:t>电子邮箱：344294317@qq.com</w:t>
      </w:r>
    </w:p>
    <w:sectPr w:rsidR="00032CD0" w:rsidRPr="008A5BB4">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04E4DD" w14:textId="77777777" w:rsidR="00E639CA" w:rsidRDefault="00E639CA">
      <w:r>
        <w:separator/>
      </w:r>
    </w:p>
  </w:endnote>
  <w:endnote w:type="continuationSeparator" w:id="0">
    <w:p w14:paraId="7EBD5BF4" w14:textId="77777777" w:rsidR="00E639CA" w:rsidRDefault="00E639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PingFang SC">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154BD" w14:textId="77777777" w:rsidR="00032CD0" w:rsidRDefault="00000000">
    <w:pPr>
      <w:pStyle w:val="a5"/>
      <w:jc w:val="center"/>
    </w:pPr>
    <w:r>
      <w:rPr>
        <w:noProof/>
      </w:rPr>
      <mc:AlternateContent>
        <mc:Choice Requires="wps">
          <w:drawing>
            <wp:anchor distT="0" distB="0" distL="114300" distR="114300" simplePos="0" relativeHeight="251659264" behindDoc="0" locked="0" layoutInCell="1" allowOverlap="1" wp14:anchorId="7BB45742" wp14:editId="508472D1">
              <wp:simplePos x="0" y="0"/>
              <wp:positionH relativeFrom="margin">
                <wp:align>center</wp:align>
              </wp:positionH>
              <wp:positionV relativeFrom="paragraph">
                <wp:posOffset>0</wp:posOffset>
              </wp:positionV>
              <wp:extent cx="1828800" cy="1828800"/>
              <wp:effectExtent l="0" t="0" r="0" b="0"/>
              <wp:wrapNone/>
              <wp:docPr id="8"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id w:val="-1954318785"/>
                          </w:sdtPr>
                          <w:sdtContent>
                            <w:p w14:paraId="04358EE0" w14:textId="77777777" w:rsidR="00032CD0" w:rsidRDefault="00000000">
                              <w:pPr>
                                <w:pStyle w:val="a5"/>
                                <w:jc w:val="center"/>
                              </w:pPr>
                              <w:r>
                                <w:fldChar w:fldCharType="begin"/>
                              </w:r>
                              <w:r>
                                <w:instrText>PAGE   \* MERGEFORMAT</w:instrText>
                              </w:r>
                              <w:r>
                                <w:fldChar w:fldCharType="separate"/>
                              </w:r>
                              <w:r>
                                <w:rPr>
                                  <w:lang w:val="zh-CN"/>
                                </w:rPr>
                                <w:t>12</w:t>
                              </w:r>
                              <w:r>
                                <w:fldChar w:fldCharType="end"/>
                              </w:r>
                            </w:p>
                          </w:sdtContent>
                        </w:sdt>
                        <w:p w14:paraId="15B6DDC7" w14:textId="77777777" w:rsidR="00032CD0" w:rsidRDefault="00032CD0"/>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7BB45742" id="_x0000_t202" coordsize="21600,21600" o:spt="202" path="m,l,21600r21600,l21600,xe">
              <v:stroke joinstyle="miter"/>
              <v:path gradientshapeok="t" o:connecttype="rect"/>
            </v:shapetype>
            <v:shape id="文本框 2" o:spid="_x0000_s1026"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" filled="f" stroked="f" strokeweight=".5pt">
              <v:textbox style="mso-fit-shape-to-text:t" inset="0,0,0,0">
                <w:txbxContent>
                  <w:sdt>
                    <w:sdtPr>
                      <w:id w:val="-1954318785"/>
                    </w:sdtPr>
                    <w:sdtContent>
                      <w:p w14:paraId="04358EE0" w14:textId="77777777" w:rsidR="00032CD0" w:rsidRDefault="00000000">
                        <w:pPr>
                          <w:pStyle w:val="a5"/>
                          <w:jc w:val="center"/>
                        </w:pPr>
                        <w:r>
                          <w:fldChar w:fldCharType="begin"/>
                        </w:r>
                        <w:r>
                          <w:instrText>PAGE   \* MERGEFORMAT</w:instrText>
                        </w:r>
                        <w:r>
                          <w:fldChar w:fldCharType="separate"/>
                        </w:r>
                        <w:r>
                          <w:rPr>
                            <w:lang w:val="zh-CN"/>
                          </w:rPr>
                          <w:t>12</w:t>
                        </w:r>
                        <w:r>
                          <w:fldChar w:fldCharType="end"/>
                        </w:r>
                      </w:p>
                    </w:sdtContent>
                  </w:sdt>
                  <w:p w14:paraId="15B6DDC7" w14:textId="77777777" w:rsidR="00032CD0" w:rsidRDefault="00032CD0"/>
                </w:txbxContent>
              </v:textbox>
              <w10:wrap anchorx="margin"/>
            </v:shape>
          </w:pict>
        </mc:Fallback>
      </mc:AlternateContent>
    </w:r>
  </w:p>
  <w:p w14:paraId="10AC7EAD" w14:textId="77777777" w:rsidR="00032CD0" w:rsidRDefault="00032CD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23FE61" w14:textId="77777777" w:rsidR="00E639CA" w:rsidRDefault="00E639CA">
      <w:r>
        <w:separator/>
      </w:r>
    </w:p>
  </w:footnote>
  <w:footnote w:type="continuationSeparator" w:id="0">
    <w:p w14:paraId="50B76164" w14:textId="77777777" w:rsidR="00E639CA" w:rsidRDefault="00E639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F7BD490"/>
    <w:multiLevelType w:val="singleLevel"/>
    <w:tmpl w:val="DF7BD490"/>
    <w:lvl w:ilvl="0">
      <w:start w:val="3"/>
      <w:numFmt w:val="chineseCounting"/>
      <w:suff w:val="nothing"/>
      <w:lvlText w:val="（%1）"/>
      <w:lvlJc w:val="left"/>
      <w:rPr>
        <w:rFonts w:hint="eastAsia"/>
      </w:rPr>
    </w:lvl>
  </w:abstractNum>
  <w:num w:numId="1" w16cid:durableId="10688391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mQ4ZjFlZDZiNzdiMGU1Zjg0OWQ2MGRjOTc2MWRlYmIifQ=="/>
  </w:docVars>
  <w:rsids>
    <w:rsidRoot w:val="00F000FB"/>
    <w:rsid w:val="000152A2"/>
    <w:rsid w:val="000264D3"/>
    <w:rsid w:val="00027310"/>
    <w:rsid w:val="00032CD0"/>
    <w:rsid w:val="00036D8B"/>
    <w:rsid w:val="00065FA2"/>
    <w:rsid w:val="00070FF3"/>
    <w:rsid w:val="00071E4B"/>
    <w:rsid w:val="000A4EA3"/>
    <w:rsid w:val="000B27A1"/>
    <w:rsid w:val="000C06EC"/>
    <w:rsid w:val="000D340B"/>
    <w:rsid w:val="000E35B8"/>
    <w:rsid w:val="000F24D9"/>
    <w:rsid w:val="0010426F"/>
    <w:rsid w:val="00112460"/>
    <w:rsid w:val="00136F23"/>
    <w:rsid w:val="00161E78"/>
    <w:rsid w:val="001754F1"/>
    <w:rsid w:val="00194164"/>
    <w:rsid w:val="001A2DB1"/>
    <w:rsid w:val="001B011C"/>
    <w:rsid w:val="001C2242"/>
    <w:rsid w:val="001E1EE5"/>
    <w:rsid w:val="001F0A32"/>
    <w:rsid w:val="001F2B7B"/>
    <w:rsid w:val="00207989"/>
    <w:rsid w:val="00212C26"/>
    <w:rsid w:val="002141C7"/>
    <w:rsid w:val="00214895"/>
    <w:rsid w:val="0021590F"/>
    <w:rsid w:val="0022043D"/>
    <w:rsid w:val="00220C44"/>
    <w:rsid w:val="00247597"/>
    <w:rsid w:val="002C7302"/>
    <w:rsid w:val="002D7CB5"/>
    <w:rsid w:val="002F49C8"/>
    <w:rsid w:val="0033570F"/>
    <w:rsid w:val="00344375"/>
    <w:rsid w:val="00362327"/>
    <w:rsid w:val="003760E0"/>
    <w:rsid w:val="00380405"/>
    <w:rsid w:val="00383725"/>
    <w:rsid w:val="00386919"/>
    <w:rsid w:val="003C2B06"/>
    <w:rsid w:val="00430C72"/>
    <w:rsid w:val="0043337C"/>
    <w:rsid w:val="00442E98"/>
    <w:rsid w:val="0045250C"/>
    <w:rsid w:val="00464A13"/>
    <w:rsid w:val="00476C92"/>
    <w:rsid w:val="00480080"/>
    <w:rsid w:val="004A5EAC"/>
    <w:rsid w:val="004B617E"/>
    <w:rsid w:val="004B7676"/>
    <w:rsid w:val="004E1D6C"/>
    <w:rsid w:val="004F5924"/>
    <w:rsid w:val="005509C6"/>
    <w:rsid w:val="00555C03"/>
    <w:rsid w:val="00561514"/>
    <w:rsid w:val="00566204"/>
    <w:rsid w:val="00567724"/>
    <w:rsid w:val="00573D17"/>
    <w:rsid w:val="00582FC1"/>
    <w:rsid w:val="005A07F2"/>
    <w:rsid w:val="005B0854"/>
    <w:rsid w:val="005B3055"/>
    <w:rsid w:val="005E1303"/>
    <w:rsid w:val="006079FE"/>
    <w:rsid w:val="00664EE9"/>
    <w:rsid w:val="006C139E"/>
    <w:rsid w:val="006E3841"/>
    <w:rsid w:val="0070762F"/>
    <w:rsid w:val="0071270B"/>
    <w:rsid w:val="00741467"/>
    <w:rsid w:val="00770417"/>
    <w:rsid w:val="007E6FB2"/>
    <w:rsid w:val="007F734C"/>
    <w:rsid w:val="0080067E"/>
    <w:rsid w:val="0082778A"/>
    <w:rsid w:val="008A5BB4"/>
    <w:rsid w:val="008B3B9E"/>
    <w:rsid w:val="008D23AD"/>
    <w:rsid w:val="009054A8"/>
    <w:rsid w:val="00910EC2"/>
    <w:rsid w:val="00922D45"/>
    <w:rsid w:val="0092704D"/>
    <w:rsid w:val="009449C4"/>
    <w:rsid w:val="009624A2"/>
    <w:rsid w:val="00981A75"/>
    <w:rsid w:val="00990352"/>
    <w:rsid w:val="00996592"/>
    <w:rsid w:val="009D3A8C"/>
    <w:rsid w:val="009E730E"/>
    <w:rsid w:val="00A12A53"/>
    <w:rsid w:val="00A15FFB"/>
    <w:rsid w:val="00A33CFA"/>
    <w:rsid w:val="00A450A3"/>
    <w:rsid w:val="00A50BF9"/>
    <w:rsid w:val="00A65D31"/>
    <w:rsid w:val="00A7444D"/>
    <w:rsid w:val="00A87C22"/>
    <w:rsid w:val="00AA479C"/>
    <w:rsid w:val="00AA5EC1"/>
    <w:rsid w:val="00AA66BC"/>
    <w:rsid w:val="00AA7853"/>
    <w:rsid w:val="00AC672E"/>
    <w:rsid w:val="00AD42DF"/>
    <w:rsid w:val="00AE1525"/>
    <w:rsid w:val="00AF4005"/>
    <w:rsid w:val="00AF62CC"/>
    <w:rsid w:val="00B00A6B"/>
    <w:rsid w:val="00B112D0"/>
    <w:rsid w:val="00B241E4"/>
    <w:rsid w:val="00B50B29"/>
    <w:rsid w:val="00B73727"/>
    <w:rsid w:val="00B74984"/>
    <w:rsid w:val="00B77749"/>
    <w:rsid w:val="00B859A2"/>
    <w:rsid w:val="00BB1AD1"/>
    <w:rsid w:val="00BD3044"/>
    <w:rsid w:val="00BD486B"/>
    <w:rsid w:val="00BD6689"/>
    <w:rsid w:val="00BE0D94"/>
    <w:rsid w:val="00BE3A7A"/>
    <w:rsid w:val="00BF007A"/>
    <w:rsid w:val="00C31EF1"/>
    <w:rsid w:val="00C5155A"/>
    <w:rsid w:val="00C5217C"/>
    <w:rsid w:val="00C550DE"/>
    <w:rsid w:val="00C66646"/>
    <w:rsid w:val="00C80E26"/>
    <w:rsid w:val="00C95ACC"/>
    <w:rsid w:val="00CA3807"/>
    <w:rsid w:val="00CB0683"/>
    <w:rsid w:val="00CD5DB2"/>
    <w:rsid w:val="00CD7CB7"/>
    <w:rsid w:val="00CD7F32"/>
    <w:rsid w:val="00CF7CFA"/>
    <w:rsid w:val="00D047E0"/>
    <w:rsid w:val="00D1623F"/>
    <w:rsid w:val="00D2269C"/>
    <w:rsid w:val="00D26E02"/>
    <w:rsid w:val="00D57F3F"/>
    <w:rsid w:val="00D67499"/>
    <w:rsid w:val="00D70B7F"/>
    <w:rsid w:val="00D76C13"/>
    <w:rsid w:val="00DA357E"/>
    <w:rsid w:val="00DB0713"/>
    <w:rsid w:val="00DB1351"/>
    <w:rsid w:val="00DB6FC1"/>
    <w:rsid w:val="00DD0163"/>
    <w:rsid w:val="00DD563C"/>
    <w:rsid w:val="00DE10D7"/>
    <w:rsid w:val="00E018E2"/>
    <w:rsid w:val="00E045B6"/>
    <w:rsid w:val="00E1078F"/>
    <w:rsid w:val="00E54DCF"/>
    <w:rsid w:val="00E6009D"/>
    <w:rsid w:val="00E639CA"/>
    <w:rsid w:val="00E77AFD"/>
    <w:rsid w:val="00EA3E1F"/>
    <w:rsid w:val="00EC435D"/>
    <w:rsid w:val="00ED354D"/>
    <w:rsid w:val="00EF27A7"/>
    <w:rsid w:val="00F000FB"/>
    <w:rsid w:val="00F0089E"/>
    <w:rsid w:val="00F05C0A"/>
    <w:rsid w:val="00F21329"/>
    <w:rsid w:val="00F22424"/>
    <w:rsid w:val="00F6074C"/>
    <w:rsid w:val="00F8798C"/>
    <w:rsid w:val="00F94328"/>
    <w:rsid w:val="00FA1BBD"/>
    <w:rsid w:val="00FB18DD"/>
    <w:rsid w:val="00FB5BC6"/>
    <w:rsid w:val="00FD0FA9"/>
    <w:rsid w:val="00FE0688"/>
    <w:rsid w:val="025444B0"/>
    <w:rsid w:val="03B840B9"/>
    <w:rsid w:val="04F02903"/>
    <w:rsid w:val="051448C1"/>
    <w:rsid w:val="058B5484"/>
    <w:rsid w:val="069E5BE2"/>
    <w:rsid w:val="07041C48"/>
    <w:rsid w:val="07847A1D"/>
    <w:rsid w:val="07C22D9C"/>
    <w:rsid w:val="082F2D28"/>
    <w:rsid w:val="085812C8"/>
    <w:rsid w:val="08E24A9F"/>
    <w:rsid w:val="0A426D43"/>
    <w:rsid w:val="0AAE3CEC"/>
    <w:rsid w:val="0C1C3319"/>
    <w:rsid w:val="0D1728EC"/>
    <w:rsid w:val="0D55454D"/>
    <w:rsid w:val="0D8A0964"/>
    <w:rsid w:val="0DBB2747"/>
    <w:rsid w:val="0F580DB7"/>
    <w:rsid w:val="0F720E2B"/>
    <w:rsid w:val="0FE7737A"/>
    <w:rsid w:val="0FEE34C9"/>
    <w:rsid w:val="10DF6144"/>
    <w:rsid w:val="11440A12"/>
    <w:rsid w:val="11A5138F"/>
    <w:rsid w:val="125473DE"/>
    <w:rsid w:val="15A54207"/>
    <w:rsid w:val="15F35395"/>
    <w:rsid w:val="1A40267A"/>
    <w:rsid w:val="1B1F09DB"/>
    <w:rsid w:val="1C0C152B"/>
    <w:rsid w:val="1C6A3ED7"/>
    <w:rsid w:val="1CE5494C"/>
    <w:rsid w:val="1D1339CD"/>
    <w:rsid w:val="1D7F630B"/>
    <w:rsid w:val="1E7B14B9"/>
    <w:rsid w:val="1E8251E0"/>
    <w:rsid w:val="1F933745"/>
    <w:rsid w:val="1FC47532"/>
    <w:rsid w:val="1FF04855"/>
    <w:rsid w:val="20492E00"/>
    <w:rsid w:val="213A216D"/>
    <w:rsid w:val="218770A3"/>
    <w:rsid w:val="231F2678"/>
    <w:rsid w:val="23C17DC8"/>
    <w:rsid w:val="240E22DC"/>
    <w:rsid w:val="25472D7E"/>
    <w:rsid w:val="25787665"/>
    <w:rsid w:val="25BA4485"/>
    <w:rsid w:val="25F55980"/>
    <w:rsid w:val="26D62895"/>
    <w:rsid w:val="276424FC"/>
    <w:rsid w:val="2851184D"/>
    <w:rsid w:val="285B7BA3"/>
    <w:rsid w:val="288B5A6C"/>
    <w:rsid w:val="292009B8"/>
    <w:rsid w:val="2A820EC0"/>
    <w:rsid w:val="2AFE23BA"/>
    <w:rsid w:val="2B030177"/>
    <w:rsid w:val="2B8810B9"/>
    <w:rsid w:val="2C752B50"/>
    <w:rsid w:val="2D3E1749"/>
    <w:rsid w:val="2D6262A7"/>
    <w:rsid w:val="30490208"/>
    <w:rsid w:val="308C2216"/>
    <w:rsid w:val="32285406"/>
    <w:rsid w:val="33BB5755"/>
    <w:rsid w:val="34136024"/>
    <w:rsid w:val="358C0518"/>
    <w:rsid w:val="36B07C0B"/>
    <w:rsid w:val="371B60A2"/>
    <w:rsid w:val="37E961A0"/>
    <w:rsid w:val="383405E9"/>
    <w:rsid w:val="38D330D8"/>
    <w:rsid w:val="38DC1B29"/>
    <w:rsid w:val="39260ED7"/>
    <w:rsid w:val="395A45E6"/>
    <w:rsid w:val="39E60696"/>
    <w:rsid w:val="3ADC656C"/>
    <w:rsid w:val="3BCA5926"/>
    <w:rsid w:val="3BDB107C"/>
    <w:rsid w:val="3C1317DC"/>
    <w:rsid w:val="3C971EE1"/>
    <w:rsid w:val="3D010B81"/>
    <w:rsid w:val="3D2856E0"/>
    <w:rsid w:val="3D7254FF"/>
    <w:rsid w:val="3DBA5BEE"/>
    <w:rsid w:val="3DE47B36"/>
    <w:rsid w:val="3E5320BA"/>
    <w:rsid w:val="3F126725"/>
    <w:rsid w:val="3F5E56C6"/>
    <w:rsid w:val="3F674671"/>
    <w:rsid w:val="40856A45"/>
    <w:rsid w:val="40DE086C"/>
    <w:rsid w:val="413D35A4"/>
    <w:rsid w:val="42A90E5C"/>
    <w:rsid w:val="436D1A74"/>
    <w:rsid w:val="447632FB"/>
    <w:rsid w:val="46FB135F"/>
    <w:rsid w:val="476D19DC"/>
    <w:rsid w:val="481E3C44"/>
    <w:rsid w:val="4870135B"/>
    <w:rsid w:val="489F42DE"/>
    <w:rsid w:val="48C3149E"/>
    <w:rsid w:val="495E05F7"/>
    <w:rsid w:val="49FC0BC1"/>
    <w:rsid w:val="4AF1414D"/>
    <w:rsid w:val="4BCD3238"/>
    <w:rsid w:val="4D6C7200"/>
    <w:rsid w:val="4DE60F06"/>
    <w:rsid w:val="4E1363C1"/>
    <w:rsid w:val="4FBC621D"/>
    <w:rsid w:val="505C7A00"/>
    <w:rsid w:val="50AD059E"/>
    <w:rsid w:val="51BB2519"/>
    <w:rsid w:val="534764ED"/>
    <w:rsid w:val="53CE29C2"/>
    <w:rsid w:val="53DA13CD"/>
    <w:rsid w:val="5515623C"/>
    <w:rsid w:val="562763BA"/>
    <w:rsid w:val="566904CE"/>
    <w:rsid w:val="570D3802"/>
    <w:rsid w:val="576C0645"/>
    <w:rsid w:val="57F54BC5"/>
    <w:rsid w:val="57F80BCF"/>
    <w:rsid w:val="595A64AD"/>
    <w:rsid w:val="5AF20343"/>
    <w:rsid w:val="5B422FE3"/>
    <w:rsid w:val="5C163E5D"/>
    <w:rsid w:val="5C62639E"/>
    <w:rsid w:val="5C8F2E25"/>
    <w:rsid w:val="5D565893"/>
    <w:rsid w:val="61AD20C2"/>
    <w:rsid w:val="61EE0FDF"/>
    <w:rsid w:val="622A170C"/>
    <w:rsid w:val="635527B8"/>
    <w:rsid w:val="64550FB0"/>
    <w:rsid w:val="64850E92"/>
    <w:rsid w:val="64C26581"/>
    <w:rsid w:val="657C4E76"/>
    <w:rsid w:val="65D93CD9"/>
    <w:rsid w:val="65F13BA4"/>
    <w:rsid w:val="66443C0E"/>
    <w:rsid w:val="66E3632D"/>
    <w:rsid w:val="670852AB"/>
    <w:rsid w:val="673D6B00"/>
    <w:rsid w:val="67D6379C"/>
    <w:rsid w:val="67F07B5B"/>
    <w:rsid w:val="68BE4352"/>
    <w:rsid w:val="69C571ED"/>
    <w:rsid w:val="6AAA30B2"/>
    <w:rsid w:val="6CD62437"/>
    <w:rsid w:val="6DB4457F"/>
    <w:rsid w:val="6E704300"/>
    <w:rsid w:val="6E7E7687"/>
    <w:rsid w:val="6ED6541C"/>
    <w:rsid w:val="6EE45384"/>
    <w:rsid w:val="6FE86598"/>
    <w:rsid w:val="709D49F5"/>
    <w:rsid w:val="71030438"/>
    <w:rsid w:val="714300F4"/>
    <w:rsid w:val="7181021E"/>
    <w:rsid w:val="718A5332"/>
    <w:rsid w:val="729913CE"/>
    <w:rsid w:val="731D407E"/>
    <w:rsid w:val="735C158F"/>
    <w:rsid w:val="746F70C3"/>
    <w:rsid w:val="74CE7886"/>
    <w:rsid w:val="76E748F2"/>
    <w:rsid w:val="79B6062C"/>
    <w:rsid w:val="79E87A8A"/>
    <w:rsid w:val="7A5C3D4E"/>
    <w:rsid w:val="7B905FDA"/>
    <w:rsid w:val="7BD25FF2"/>
    <w:rsid w:val="7BE87472"/>
    <w:rsid w:val="7C2559E9"/>
    <w:rsid w:val="7C5F1B5A"/>
    <w:rsid w:val="7C705188"/>
    <w:rsid w:val="7CEF7582"/>
    <w:rsid w:val="7D221749"/>
    <w:rsid w:val="7DAA1EE2"/>
    <w:rsid w:val="7DF12C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6B8011"/>
  <w15:docId w15:val="{99CEDE80-DDAA-4BF9-A4D7-58F4CF6191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a">
    <w:name w:val="Strong"/>
    <w:basedOn w:val="a0"/>
    <w:uiPriority w:val="22"/>
    <w:qFormat/>
    <w:rPr>
      <w:b/>
      <w:bCs/>
    </w:rPr>
  </w:style>
  <w:style w:type="character" w:styleId="ab">
    <w:name w:val="Emphasis"/>
    <w:basedOn w:val="a0"/>
    <w:uiPriority w:val="20"/>
    <w:qFormat/>
    <w:rPr>
      <w:i/>
    </w:rPr>
  </w:style>
  <w:style w:type="character" w:styleId="ac">
    <w:name w:val="Hyperlink"/>
    <w:basedOn w:val="a0"/>
    <w:uiPriority w:val="99"/>
    <w:semiHidden/>
    <w:unhideWhenUsed/>
    <w:qFormat/>
    <w:rPr>
      <w:color w:val="0000FF"/>
      <w:u w:val="single"/>
    </w:r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paragraph" w:customStyle="1" w:styleId="1">
    <w:name w:val="列表段落1"/>
    <w:basedOn w:val="a"/>
    <w:qFormat/>
    <w:pPr>
      <w:ind w:firstLineChars="200" w:firstLine="420"/>
    </w:pPr>
    <w:rPr>
      <w:rFonts w:ascii="Times New Roman" w:eastAsia="宋体" w:hAnsi="Times New Roman" w:cs="Times New Roman"/>
      <w:szCs w:val="24"/>
    </w:rPr>
  </w:style>
  <w:style w:type="character" w:customStyle="1" w:styleId="a4">
    <w:name w:val="批注框文本 字符"/>
    <w:basedOn w:val="a0"/>
    <w:link w:val="a3"/>
    <w:uiPriority w:val="99"/>
    <w:semiHidden/>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3F4312F1-4DFA-4644-B1FD-734AC3217B2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7</Pages>
  <Words>2159</Words>
  <Characters>2268</Characters>
  <Application>Microsoft Office Word</Application>
  <DocSecurity>0</DocSecurity>
  <Lines>90</Lines>
  <Paragraphs>47</Paragraphs>
  <ScaleCrop>false</ScaleCrop>
  <Company/>
  <LinksUpToDate>false</LinksUpToDate>
  <CharactersWithSpaces>4380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Rpc-hyn</dc:creator>
  <cp:lastModifiedBy>海粟 鄭</cp:lastModifiedBy>
  <cp:revision>7</cp:revision>
  <cp:lastPrinted>2023-01-30T01:44:00Z</cp:lastPrinted>
  <dcterms:created xsi:type="dcterms:W3CDTF">2025-01-16T12:26:00Z</dcterms:created>
  <dcterms:modified xsi:type="dcterms:W3CDTF">2025-04-18T04:36:00Z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7D6865C823AC41B7B5C73C6CB6AF13B7</vt:lpwstr>
  </property>
  <property fmtid="{D5CDD505-2E9C-101B-9397-08002B2CF9AE}" pid="4" name="KSOTemplateDocerSaveRecord">
    <vt:lpwstr>eyJoZGlkIjoiMmQ4ZjFlZDZiNzdiMGU1Zjg0OWQ2MGRjOTc2MWRlYmIiLCJ1c2VySWQiOiIzMTM3MTAxMzUifQ==</vt:lpwstr>
  </property>
</Properties>
</file>