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A6A17B" w14:textId="77777777" w:rsidR="00172EF0" w:rsidRDefault="00000000" w:rsidP="008525D9">
      <w:pPr>
        <w:spacing w:after="0" w:line="640" w:lineRule="exact"/>
        <w:jc w:val="center"/>
        <w:rPr>
          <w:rFonts w:ascii="仿宋_GB2312" w:eastAsia="仿宋_GB2312" w:hAnsi="仿宋_GB2312" w:cs="仿宋_GB2312"/>
          <w:b/>
          <w:bCs/>
          <w:sz w:val="28"/>
          <w:szCs w:val="28"/>
        </w:rPr>
      </w:pPr>
      <w:r>
        <w:rPr>
          <w:rFonts w:ascii="方正小标宋简体" w:eastAsia="方正小标宋简体" w:hAnsi="方正小标宋简体" w:cs="方正小标宋简体" w:hint="eastAsia"/>
          <w:b/>
          <w:sz w:val="36"/>
          <w:szCs w:val="36"/>
        </w:rPr>
        <w:t>果园生草栽培技术</w:t>
      </w:r>
    </w:p>
    <w:p w14:paraId="2F8DD8DB" w14:textId="77777777" w:rsidR="00172EF0" w:rsidRDefault="00172EF0" w:rsidP="008525D9">
      <w:pPr>
        <w:spacing w:after="0" w:line="640" w:lineRule="exact"/>
        <w:ind w:firstLineChars="200" w:firstLine="560"/>
        <w:rPr>
          <w:rFonts w:ascii="仿宋_GB2312" w:eastAsia="仿宋_GB2312" w:hAnsi="仿宋_GB2312" w:cs="仿宋_GB2312"/>
          <w:bCs/>
          <w:color w:val="000000" w:themeColor="text1"/>
          <w:sz w:val="28"/>
          <w:szCs w:val="28"/>
        </w:rPr>
      </w:pPr>
    </w:p>
    <w:p w14:paraId="6FC515FC" w14:textId="77777777" w:rsidR="00172EF0" w:rsidRDefault="00000000" w:rsidP="008525D9">
      <w:pPr>
        <w:spacing w:after="0" w:line="640" w:lineRule="exact"/>
        <w:ind w:firstLineChars="200" w:firstLine="720"/>
        <w:rPr>
          <w:rFonts w:ascii="黑体" w:eastAsia="黑体" w:hAnsi="黑体" w:cs="黑体"/>
          <w:bCs/>
          <w:color w:val="000000" w:themeColor="text1"/>
          <w:sz w:val="36"/>
          <w:szCs w:val="36"/>
        </w:rPr>
      </w:pPr>
      <w:r>
        <w:rPr>
          <w:rFonts w:ascii="黑体" w:eastAsia="黑体" w:hAnsi="黑体" w:cs="黑体" w:hint="eastAsia"/>
          <w:bCs/>
          <w:color w:val="000000" w:themeColor="text1"/>
          <w:sz w:val="36"/>
          <w:szCs w:val="36"/>
        </w:rPr>
        <w:t>一、技术概述</w:t>
      </w:r>
    </w:p>
    <w:p w14:paraId="76E948DF" w14:textId="77777777" w:rsidR="00172EF0" w:rsidRPr="00786EE7" w:rsidRDefault="00000000" w:rsidP="008525D9">
      <w:pPr>
        <w:spacing w:after="0" w:line="640" w:lineRule="exact"/>
        <w:ind w:firstLineChars="200" w:firstLine="640"/>
        <w:rPr>
          <w:rFonts w:ascii="仿宋_GB2312" w:eastAsia="仿宋_GB2312" w:hAnsi="仿宋_GB2312" w:cs="仿宋_GB2312"/>
          <w:bCs/>
          <w:color w:val="000000" w:themeColor="text1"/>
          <w:sz w:val="28"/>
          <w:szCs w:val="28"/>
        </w:rPr>
      </w:pPr>
      <w:r w:rsidRPr="00786EE7">
        <w:rPr>
          <w:rFonts w:ascii="楷体_GB2312" w:eastAsia="楷体_GB2312" w:hAnsi="楷体_GB2312" w:cs="楷体_GB2312" w:hint="eastAsia"/>
          <w:bCs/>
          <w:color w:val="000000" w:themeColor="text1"/>
          <w:sz w:val="32"/>
          <w:szCs w:val="32"/>
        </w:rPr>
        <w:t>（一）技术基本情况</w:t>
      </w:r>
    </w:p>
    <w:p w14:paraId="6E9D9B9A" w14:textId="77777777" w:rsidR="00172EF0" w:rsidRDefault="00000000" w:rsidP="008525D9">
      <w:pPr>
        <w:spacing w:after="0" w:line="640" w:lineRule="exact"/>
        <w:ind w:firstLineChars="200" w:firstLine="560"/>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果园生草栽培技术是国外发达国家如美国、加拿大等开发成功的普遍被采用的一项现代化、标准化果园管理技术。我国自20世纪90年代引进果园生草技术，在福建、江苏、山东等部分省区得到一定的推广应用。</w:t>
      </w:r>
    </w:p>
    <w:p w14:paraId="2F67683E" w14:textId="77777777" w:rsidR="00172EF0" w:rsidRDefault="00000000" w:rsidP="008525D9">
      <w:pPr>
        <w:spacing w:after="0" w:line="640" w:lineRule="exact"/>
        <w:ind w:firstLineChars="200" w:firstLine="560"/>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大量科学研究和生产实践证明，传统清耕作业的果园管理方式必然导致果园生态退化、地力下降、投入增加、果树早衰、品质下降。而果园生草标准化技术不仅对果园保水增肥、改善果园生长环境、增加果园产量、改善果品质量、增加农民收入具有重要作用，而且为果品无公害安全生产、生态环境建设提供了重要的理论依据，具有极其重要的推广价值。1998年中国绿色食品发展中心就将果园生草纳入绿色食品果业生产技术体系，向全国推广。</w:t>
      </w:r>
    </w:p>
    <w:p w14:paraId="2D16F1C2" w14:textId="77777777" w:rsidR="00172EF0" w:rsidRDefault="00000000" w:rsidP="008525D9">
      <w:pPr>
        <w:spacing w:after="0" w:line="640" w:lineRule="exact"/>
        <w:ind w:firstLineChars="200" w:firstLine="560"/>
        <w:rPr>
          <w:rFonts w:ascii="仿宋_GB2312" w:eastAsia="仿宋_GB2312" w:hAnsi="仿宋_GB2312" w:cs="仿宋_GB2312"/>
          <w:b/>
          <w:color w:val="000000" w:themeColor="text1"/>
          <w:sz w:val="28"/>
          <w:szCs w:val="28"/>
        </w:rPr>
      </w:pPr>
      <w:r>
        <w:rPr>
          <w:rFonts w:ascii="仿宋_GB2312" w:eastAsia="仿宋_GB2312" w:hAnsi="仿宋_GB2312" w:cs="仿宋_GB2312" w:hint="eastAsia"/>
          <w:color w:val="000000" w:themeColor="text1"/>
          <w:sz w:val="28"/>
          <w:szCs w:val="28"/>
        </w:rPr>
        <w:t>近几年，上海地区果树产业大力发展标准化果园建设，推广绿色生态栽培技术，而生草栽培作为其中最重要的组成部分得到越来越多的重视。且果园生草栽培还可提升园区环境质量、推进果园观光</w:t>
      </w:r>
      <w:proofErr w:type="gramStart"/>
      <w:r>
        <w:rPr>
          <w:rFonts w:ascii="仿宋_GB2312" w:eastAsia="仿宋_GB2312" w:hAnsi="仿宋_GB2312" w:cs="仿宋_GB2312" w:hint="eastAsia"/>
          <w:color w:val="000000" w:themeColor="text1"/>
          <w:sz w:val="28"/>
          <w:szCs w:val="28"/>
        </w:rPr>
        <w:t>采摘业</w:t>
      </w:r>
      <w:proofErr w:type="gramEnd"/>
      <w:r>
        <w:rPr>
          <w:rFonts w:ascii="仿宋_GB2312" w:eastAsia="仿宋_GB2312" w:hAnsi="仿宋_GB2312" w:cs="仿宋_GB2312" w:hint="eastAsia"/>
          <w:color w:val="000000" w:themeColor="text1"/>
          <w:sz w:val="28"/>
          <w:szCs w:val="28"/>
        </w:rPr>
        <w:t>发展。通过水果</w:t>
      </w:r>
      <w:proofErr w:type="gramStart"/>
      <w:r>
        <w:rPr>
          <w:rFonts w:ascii="仿宋_GB2312" w:eastAsia="仿宋_GB2312" w:hAnsi="仿宋_GB2312" w:cs="仿宋_GB2312" w:hint="eastAsia"/>
          <w:color w:val="000000" w:themeColor="text1"/>
          <w:sz w:val="28"/>
          <w:szCs w:val="28"/>
        </w:rPr>
        <w:t>标准园</w:t>
      </w:r>
      <w:proofErr w:type="gramEnd"/>
      <w:r>
        <w:rPr>
          <w:rFonts w:ascii="仿宋_GB2312" w:eastAsia="仿宋_GB2312" w:hAnsi="仿宋_GB2312" w:cs="仿宋_GB2312" w:hint="eastAsia"/>
          <w:color w:val="000000" w:themeColor="text1"/>
          <w:sz w:val="28"/>
          <w:szCs w:val="28"/>
        </w:rPr>
        <w:t>的创建以及农技中心近三年生草专项的开展，生草栽培技术日趋成熟，</w:t>
      </w:r>
      <w:r>
        <w:rPr>
          <w:rFonts w:ascii="仿宋_GB2312" w:eastAsia="仿宋_GB2312" w:hAnsi="仿宋_GB2312" w:cs="仿宋_GB2312" w:hint="eastAsia"/>
          <w:sz w:val="28"/>
          <w:szCs w:val="28"/>
        </w:rPr>
        <w:t>对于促进果园土壤肥力提升、提高果品质量和产量以及推动果树产业高质量发展具有重要意义。</w:t>
      </w:r>
    </w:p>
    <w:p w14:paraId="64457425" w14:textId="77777777" w:rsidR="00172EF0" w:rsidRPr="00786EE7" w:rsidRDefault="00000000" w:rsidP="008525D9">
      <w:pPr>
        <w:spacing w:after="0" w:line="640" w:lineRule="exact"/>
        <w:ind w:firstLine="640"/>
        <w:rPr>
          <w:rFonts w:ascii="仿宋_GB2312" w:eastAsia="仿宋_GB2312" w:hAnsi="仿宋_GB2312" w:cs="仿宋_GB2312"/>
          <w:bCs/>
          <w:color w:val="000000" w:themeColor="text1"/>
          <w:sz w:val="28"/>
          <w:szCs w:val="28"/>
        </w:rPr>
      </w:pPr>
      <w:r w:rsidRPr="00786EE7">
        <w:rPr>
          <w:rFonts w:ascii="楷体_GB2312" w:eastAsia="楷体_GB2312" w:hAnsi="楷体_GB2312" w:cs="楷体_GB2312" w:hint="eastAsia"/>
          <w:bCs/>
          <w:color w:val="000000" w:themeColor="text1"/>
          <w:sz w:val="32"/>
          <w:szCs w:val="32"/>
        </w:rPr>
        <w:lastRenderedPageBreak/>
        <w:t>（二）技术示范推广情况</w:t>
      </w:r>
    </w:p>
    <w:p w14:paraId="57859305" w14:textId="77777777" w:rsidR="00172EF0" w:rsidRDefault="00000000" w:rsidP="008525D9">
      <w:pPr>
        <w:spacing w:after="0" w:line="640" w:lineRule="exact"/>
        <w:ind w:firstLine="640"/>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通过2015—2020年间上海市水果</w:t>
      </w:r>
      <w:proofErr w:type="gramStart"/>
      <w:r>
        <w:rPr>
          <w:rFonts w:ascii="仿宋_GB2312" w:eastAsia="仿宋_GB2312" w:hAnsi="仿宋_GB2312" w:cs="仿宋_GB2312" w:hint="eastAsia"/>
          <w:color w:val="000000" w:themeColor="text1"/>
          <w:sz w:val="28"/>
          <w:szCs w:val="28"/>
        </w:rPr>
        <w:t>标准园</w:t>
      </w:r>
      <w:proofErr w:type="gramEnd"/>
      <w:r>
        <w:rPr>
          <w:rFonts w:ascii="仿宋_GB2312" w:eastAsia="仿宋_GB2312" w:hAnsi="仿宋_GB2312" w:cs="仿宋_GB2312" w:hint="eastAsia"/>
          <w:color w:val="000000" w:themeColor="text1"/>
          <w:sz w:val="28"/>
          <w:szCs w:val="28"/>
        </w:rPr>
        <w:t>创建开展生草栽培技术示范并推广和2020年开始的专项推广，2015—2024年在上海9个区桃、梨、柑橘等栽培中合计推广23万亩次以上。</w:t>
      </w:r>
    </w:p>
    <w:p w14:paraId="3A661004" w14:textId="77777777" w:rsidR="00172EF0" w:rsidRDefault="00000000" w:rsidP="008525D9">
      <w:pPr>
        <w:spacing w:after="0" w:line="640" w:lineRule="exact"/>
        <w:jc w:val="center"/>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表1 上海果园生草栽培面积</w:t>
      </w:r>
    </w:p>
    <w:tbl>
      <w:tblPr>
        <w:tblW w:w="8105" w:type="dxa"/>
        <w:tblInd w:w="94" w:type="dxa"/>
        <w:tblLook w:val="04A0" w:firstRow="1" w:lastRow="0" w:firstColumn="1" w:lastColumn="0" w:noHBand="0" w:noVBand="1"/>
      </w:tblPr>
      <w:tblGrid>
        <w:gridCol w:w="3315"/>
        <w:gridCol w:w="4790"/>
      </w:tblGrid>
      <w:tr w:rsidR="00172EF0" w14:paraId="3942B899" w14:textId="77777777">
        <w:trPr>
          <w:trHeight w:val="454"/>
        </w:trPr>
        <w:tc>
          <w:tcPr>
            <w:tcW w:w="33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14430"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年度</w:t>
            </w:r>
          </w:p>
        </w:tc>
        <w:tc>
          <w:tcPr>
            <w:tcW w:w="4790" w:type="dxa"/>
            <w:tcBorders>
              <w:top w:val="single" w:sz="4" w:space="0" w:color="auto"/>
              <w:left w:val="nil"/>
              <w:bottom w:val="single" w:sz="4" w:space="0" w:color="auto"/>
              <w:right w:val="single" w:sz="4" w:space="0" w:color="auto"/>
            </w:tcBorders>
            <w:shd w:val="clear" w:color="auto" w:fill="auto"/>
            <w:noWrap/>
            <w:vAlign w:val="center"/>
          </w:tcPr>
          <w:p w14:paraId="1221E45F"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生草栽培面积（亩）</w:t>
            </w:r>
          </w:p>
        </w:tc>
      </w:tr>
      <w:tr w:rsidR="00172EF0" w14:paraId="0DD018B9"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4FB0A63D"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2015年</w:t>
            </w:r>
          </w:p>
        </w:tc>
        <w:tc>
          <w:tcPr>
            <w:tcW w:w="4790" w:type="dxa"/>
            <w:tcBorders>
              <w:top w:val="nil"/>
              <w:left w:val="nil"/>
              <w:bottom w:val="single" w:sz="4" w:space="0" w:color="auto"/>
              <w:right w:val="single" w:sz="4" w:space="0" w:color="auto"/>
            </w:tcBorders>
            <w:shd w:val="clear" w:color="auto" w:fill="auto"/>
            <w:noWrap/>
            <w:vAlign w:val="center"/>
          </w:tcPr>
          <w:p w14:paraId="46E65823"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20100</w:t>
            </w:r>
          </w:p>
        </w:tc>
      </w:tr>
      <w:tr w:rsidR="00172EF0" w14:paraId="5CB4A47A"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03513B2A"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2016年</w:t>
            </w:r>
          </w:p>
        </w:tc>
        <w:tc>
          <w:tcPr>
            <w:tcW w:w="4790" w:type="dxa"/>
            <w:tcBorders>
              <w:top w:val="nil"/>
              <w:left w:val="nil"/>
              <w:bottom w:val="single" w:sz="4" w:space="0" w:color="auto"/>
              <w:right w:val="single" w:sz="4" w:space="0" w:color="auto"/>
            </w:tcBorders>
            <w:shd w:val="clear" w:color="auto" w:fill="auto"/>
            <w:noWrap/>
            <w:vAlign w:val="center"/>
          </w:tcPr>
          <w:p w14:paraId="5E577872"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20752</w:t>
            </w:r>
          </w:p>
        </w:tc>
      </w:tr>
      <w:tr w:rsidR="00172EF0" w14:paraId="7AA4D361"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1916BEDB"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2017年</w:t>
            </w:r>
          </w:p>
        </w:tc>
        <w:tc>
          <w:tcPr>
            <w:tcW w:w="4790" w:type="dxa"/>
            <w:tcBorders>
              <w:top w:val="nil"/>
              <w:left w:val="nil"/>
              <w:bottom w:val="single" w:sz="4" w:space="0" w:color="auto"/>
              <w:right w:val="single" w:sz="4" w:space="0" w:color="auto"/>
            </w:tcBorders>
            <w:shd w:val="clear" w:color="auto" w:fill="auto"/>
            <w:noWrap/>
            <w:vAlign w:val="center"/>
          </w:tcPr>
          <w:p w14:paraId="18A48591"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21289</w:t>
            </w:r>
          </w:p>
        </w:tc>
      </w:tr>
      <w:tr w:rsidR="00172EF0" w14:paraId="4C5D061C"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204E29ED"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2018年</w:t>
            </w:r>
          </w:p>
        </w:tc>
        <w:tc>
          <w:tcPr>
            <w:tcW w:w="4790" w:type="dxa"/>
            <w:tcBorders>
              <w:top w:val="nil"/>
              <w:left w:val="nil"/>
              <w:bottom w:val="single" w:sz="4" w:space="0" w:color="auto"/>
              <w:right w:val="single" w:sz="4" w:space="0" w:color="auto"/>
            </w:tcBorders>
            <w:shd w:val="clear" w:color="auto" w:fill="auto"/>
            <w:noWrap/>
            <w:vAlign w:val="center"/>
          </w:tcPr>
          <w:p w14:paraId="71AB1BF9"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26685</w:t>
            </w:r>
          </w:p>
        </w:tc>
      </w:tr>
      <w:tr w:rsidR="00172EF0" w14:paraId="10EBE08B"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27C03451"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2019年</w:t>
            </w:r>
          </w:p>
        </w:tc>
        <w:tc>
          <w:tcPr>
            <w:tcW w:w="4790" w:type="dxa"/>
            <w:tcBorders>
              <w:top w:val="nil"/>
              <w:left w:val="nil"/>
              <w:bottom w:val="single" w:sz="4" w:space="0" w:color="auto"/>
              <w:right w:val="single" w:sz="4" w:space="0" w:color="auto"/>
            </w:tcBorders>
            <w:shd w:val="clear" w:color="auto" w:fill="auto"/>
            <w:noWrap/>
            <w:vAlign w:val="center"/>
          </w:tcPr>
          <w:p w14:paraId="13A3E098"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17912</w:t>
            </w:r>
          </w:p>
        </w:tc>
      </w:tr>
      <w:tr w:rsidR="00172EF0" w14:paraId="079A00E5"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4411E640"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2020年</w:t>
            </w:r>
          </w:p>
        </w:tc>
        <w:tc>
          <w:tcPr>
            <w:tcW w:w="4790" w:type="dxa"/>
            <w:tcBorders>
              <w:top w:val="nil"/>
              <w:left w:val="nil"/>
              <w:bottom w:val="single" w:sz="4" w:space="0" w:color="auto"/>
              <w:right w:val="single" w:sz="4" w:space="0" w:color="auto"/>
            </w:tcBorders>
            <w:shd w:val="clear" w:color="auto" w:fill="auto"/>
            <w:noWrap/>
            <w:vAlign w:val="center"/>
          </w:tcPr>
          <w:p w14:paraId="7DBAF01A"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26870</w:t>
            </w:r>
          </w:p>
        </w:tc>
      </w:tr>
      <w:tr w:rsidR="00172EF0" w14:paraId="47E56375"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3A2116F3"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2021年</w:t>
            </w:r>
          </w:p>
        </w:tc>
        <w:tc>
          <w:tcPr>
            <w:tcW w:w="4790" w:type="dxa"/>
            <w:tcBorders>
              <w:top w:val="nil"/>
              <w:left w:val="nil"/>
              <w:bottom w:val="single" w:sz="4" w:space="0" w:color="auto"/>
              <w:right w:val="single" w:sz="4" w:space="0" w:color="auto"/>
            </w:tcBorders>
            <w:shd w:val="clear" w:color="auto" w:fill="auto"/>
            <w:noWrap/>
            <w:vAlign w:val="center"/>
          </w:tcPr>
          <w:p w14:paraId="227A463D"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24044</w:t>
            </w:r>
          </w:p>
        </w:tc>
      </w:tr>
      <w:tr w:rsidR="00172EF0" w14:paraId="060CA07D"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46255C6A"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2022年</w:t>
            </w:r>
          </w:p>
        </w:tc>
        <w:tc>
          <w:tcPr>
            <w:tcW w:w="4790" w:type="dxa"/>
            <w:tcBorders>
              <w:top w:val="nil"/>
              <w:left w:val="nil"/>
              <w:bottom w:val="single" w:sz="4" w:space="0" w:color="auto"/>
              <w:right w:val="single" w:sz="4" w:space="0" w:color="auto"/>
            </w:tcBorders>
            <w:shd w:val="clear" w:color="auto" w:fill="auto"/>
            <w:noWrap/>
            <w:vAlign w:val="center"/>
          </w:tcPr>
          <w:p w14:paraId="22573157"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27050</w:t>
            </w:r>
          </w:p>
        </w:tc>
      </w:tr>
      <w:tr w:rsidR="00172EF0" w14:paraId="65BD02A3"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2D7592A2"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2023年</w:t>
            </w:r>
          </w:p>
        </w:tc>
        <w:tc>
          <w:tcPr>
            <w:tcW w:w="4790" w:type="dxa"/>
            <w:tcBorders>
              <w:top w:val="nil"/>
              <w:left w:val="nil"/>
              <w:bottom w:val="single" w:sz="4" w:space="0" w:color="auto"/>
              <w:right w:val="single" w:sz="4" w:space="0" w:color="auto"/>
            </w:tcBorders>
            <w:shd w:val="clear" w:color="auto" w:fill="auto"/>
            <w:noWrap/>
            <w:vAlign w:val="center"/>
          </w:tcPr>
          <w:p w14:paraId="128725AC"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27327</w:t>
            </w:r>
          </w:p>
        </w:tc>
      </w:tr>
      <w:tr w:rsidR="00172EF0" w14:paraId="2D63027B"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1F1B082D"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2024年</w:t>
            </w:r>
          </w:p>
        </w:tc>
        <w:tc>
          <w:tcPr>
            <w:tcW w:w="4790" w:type="dxa"/>
            <w:tcBorders>
              <w:top w:val="nil"/>
              <w:left w:val="nil"/>
              <w:bottom w:val="single" w:sz="4" w:space="0" w:color="auto"/>
              <w:right w:val="single" w:sz="4" w:space="0" w:color="auto"/>
            </w:tcBorders>
            <w:shd w:val="clear" w:color="auto" w:fill="auto"/>
            <w:noWrap/>
            <w:vAlign w:val="center"/>
          </w:tcPr>
          <w:p w14:paraId="6B155B78"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23030</w:t>
            </w:r>
          </w:p>
        </w:tc>
      </w:tr>
      <w:tr w:rsidR="00172EF0" w14:paraId="21990B14" w14:textId="77777777">
        <w:trPr>
          <w:trHeight w:val="454"/>
        </w:trPr>
        <w:tc>
          <w:tcPr>
            <w:tcW w:w="3315" w:type="dxa"/>
            <w:tcBorders>
              <w:top w:val="nil"/>
              <w:left w:val="single" w:sz="4" w:space="0" w:color="auto"/>
              <w:bottom w:val="single" w:sz="4" w:space="0" w:color="auto"/>
              <w:right w:val="single" w:sz="4" w:space="0" w:color="auto"/>
            </w:tcBorders>
            <w:shd w:val="clear" w:color="auto" w:fill="auto"/>
            <w:noWrap/>
            <w:vAlign w:val="center"/>
          </w:tcPr>
          <w:p w14:paraId="4A62F423"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合计</w:t>
            </w:r>
          </w:p>
        </w:tc>
        <w:tc>
          <w:tcPr>
            <w:tcW w:w="4790" w:type="dxa"/>
            <w:tcBorders>
              <w:top w:val="nil"/>
              <w:left w:val="nil"/>
              <w:bottom w:val="single" w:sz="4" w:space="0" w:color="auto"/>
              <w:right w:val="single" w:sz="4" w:space="0" w:color="auto"/>
            </w:tcBorders>
            <w:shd w:val="clear" w:color="auto" w:fill="auto"/>
            <w:noWrap/>
            <w:vAlign w:val="center"/>
          </w:tcPr>
          <w:p w14:paraId="513CB92E" w14:textId="77777777" w:rsidR="00172EF0" w:rsidRDefault="00000000" w:rsidP="008525D9">
            <w:pPr>
              <w:widowControl/>
              <w:spacing w:after="0" w:line="640" w:lineRule="exact"/>
              <w:jc w:val="center"/>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235059</w:t>
            </w:r>
          </w:p>
        </w:tc>
      </w:tr>
    </w:tbl>
    <w:p w14:paraId="074AD14A" w14:textId="77777777" w:rsidR="00172EF0" w:rsidRPr="00786EE7" w:rsidRDefault="00000000" w:rsidP="008525D9">
      <w:pPr>
        <w:spacing w:after="0" w:line="640" w:lineRule="exact"/>
        <w:ind w:firstLineChars="150" w:firstLine="480"/>
        <w:rPr>
          <w:rFonts w:ascii="仿宋_GB2312" w:eastAsia="仿宋_GB2312" w:hAnsi="仿宋_GB2312" w:cs="仿宋_GB2312"/>
          <w:bCs/>
          <w:color w:val="000000" w:themeColor="text1"/>
          <w:sz w:val="28"/>
          <w:szCs w:val="28"/>
        </w:rPr>
      </w:pPr>
      <w:r w:rsidRPr="00786EE7">
        <w:rPr>
          <w:rFonts w:ascii="楷体_GB2312" w:eastAsia="楷体_GB2312" w:hAnsi="楷体_GB2312" w:cs="楷体_GB2312" w:hint="eastAsia"/>
          <w:bCs/>
          <w:color w:val="000000" w:themeColor="text1"/>
          <w:sz w:val="32"/>
          <w:szCs w:val="32"/>
        </w:rPr>
        <w:t>（三）提质增效情况</w:t>
      </w:r>
    </w:p>
    <w:p w14:paraId="5C4BC13F" w14:textId="77777777" w:rsidR="00172EF0" w:rsidRPr="00786EE7" w:rsidRDefault="00000000" w:rsidP="008525D9">
      <w:pPr>
        <w:spacing w:after="0" w:line="640" w:lineRule="exact"/>
        <w:ind w:firstLine="640"/>
        <w:rPr>
          <w:rFonts w:ascii="仿宋_GB2312" w:eastAsia="仿宋_GB2312" w:hAnsi="仿宋_GB2312" w:cs="仿宋_GB2312"/>
          <w:bCs/>
          <w:color w:val="000000" w:themeColor="text1"/>
          <w:sz w:val="28"/>
          <w:szCs w:val="28"/>
        </w:rPr>
      </w:pPr>
      <w:r w:rsidRPr="00786EE7">
        <w:rPr>
          <w:rFonts w:ascii="仿宋_GB2312" w:eastAsia="仿宋_GB2312" w:hAnsi="仿宋_GB2312" w:cs="仿宋_GB2312" w:hint="eastAsia"/>
          <w:bCs/>
          <w:color w:val="000000" w:themeColor="text1"/>
          <w:sz w:val="28"/>
          <w:szCs w:val="28"/>
        </w:rPr>
        <w:t>果园生草栽培是果园绿色高效生产关键技术之一。该技术能够培肥果园土壤，提高果实商品率，增加果农收益；还可以保护天敌生物的多样性，一定程度上减少农药施用及其造成的农业面源污染，促</w:t>
      </w:r>
      <w:r w:rsidRPr="00786EE7">
        <w:rPr>
          <w:rFonts w:ascii="仿宋_GB2312" w:eastAsia="仿宋_GB2312" w:hAnsi="仿宋_GB2312" w:cs="仿宋_GB2312" w:hint="eastAsia"/>
          <w:bCs/>
          <w:color w:val="000000" w:themeColor="text1"/>
          <w:sz w:val="28"/>
          <w:szCs w:val="28"/>
        </w:rPr>
        <w:lastRenderedPageBreak/>
        <w:t>进有益生物增加，使农业生态环境得到保护，提高生态效益。</w:t>
      </w:r>
    </w:p>
    <w:p w14:paraId="61418505" w14:textId="77777777" w:rsidR="00172EF0" w:rsidRPr="00786EE7" w:rsidRDefault="00000000" w:rsidP="008525D9">
      <w:pPr>
        <w:spacing w:after="0" w:line="640" w:lineRule="exact"/>
        <w:ind w:firstLineChars="200" w:firstLine="640"/>
        <w:rPr>
          <w:rFonts w:ascii="仿宋_GB2312" w:eastAsia="仿宋_GB2312" w:hAnsi="仿宋_GB2312" w:cs="仿宋_GB2312"/>
          <w:bCs/>
          <w:color w:val="000000" w:themeColor="text1"/>
          <w:sz w:val="28"/>
          <w:szCs w:val="28"/>
        </w:rPr>
      </w:pPr>
      <w:r w:rsidRPr="00786EE7">
        <w:rPr>
          <w:rFonts w:ascii="楷体_GB2312" w:eastAsia="楷体_GB2312" w:hAnsi="楷体_GB2312" w:cs="楷体_GB2312" w:hint="eastAsia"/>
          <w:bCs/>
          <w:color w:val="000000" w:themeColor="text1"/>
          <w:sz w:val="32"/>
          <w:szCs w:val="32"/>
        </w:rPr>
        <w:t>（四）技术获奖情况</w:t>
      </w:r>
    </w:p>
    <w:p w14:paraId="299909AD" w14:textId="77777777" w:rsidR="00172EF0" w:rsidRDefault="00000000" w:rsidP="008525D9">
      <w:pPr>
        <w:spacing w:after="0" w:line="640" w:lineRule="exact"/>
        <w:ind w:firstLineChars="200" w:firstLine="560"/>
        <w:rPr>
          <w:rFonts w:ascii="仿宋_GB2312" w:eastAsia="仿宋_GB2312" w:hAnsi="仿宋_GB2312" w:cs="仿宋_GB2312"/>
          <w:i/>
          <w:color w:val="000000" w:themeColor="text1"/>
          <w:sz w:val="28"/>
          <w:szCs w:val="28"/>
        </w:rPr>
      </w:pPr>
      <w:r>
        <w:rPr>
          <w:rFonts w:ascii="仿宋_GB2312" w:eastAsia="仿宋_GB2312" w:hAnsi="仿宋_GB2312" w:cs="仿宋_GB2312" w:hint="eastAsia"/>
          <w:color w:val="000000" w:themeColor="text1"/>
          <w:sz w:val="28"/>
          <w:szCs w:val="28"/>
        </w:rPr>
        <w:t>无。</w:t>
      </w:r>
    </w:p>
    <w:p w14:paraId="6F150B29" w14:textId="77777777" w:rsidR="00172EF0" w:rsidRDefault="00000000" w:rsidP="008525D9">
      <w:pPr>
        <w:spacing w:after="0" w:line="640" w:lineRule="exact"/>
        <w:ind w:firstLineChars="200" w:firstLine="640"/>
        <w:rPr>
          <w:rFonts w:ascii="仿宋_GB2312" w:eastAsia="仿宋_GB2312" w:hAnsi="仿宋_GB2312" w:cs="仿宋_GB2312"/>
          <w:color w:val="000000" w:themeColor="text1"/>
          <w:sz w:val="28"/>
          <w:szCs w:val="28"/>
        </w:rPr>
      </w:pPr>
      <w:r>
        <w:rPr>
          <w:rFonts w:ascii="黑体" w:eastAsia="黑体" w:hAnsi="黑体" w:cs="黑体" w:hint="eastAsia"/>
          <w:color w:val="000000" w:themeColor="text1"/>
          <w:sz w:val="32"/>
          <w:szCs w:val="32"/>
        </w:rPr>
        <w:t>二、技术要点</w:t>
      </w:r>
    </w:p>
    <w:p w14:paraId="155A1184" w14:textId="77777777" w:rsidR="00172EF0" w:rsidRDefault="00000000" w:rsidP="008525D9">
      <w:pPr>
        <w:spacing w:after="0" w:line="640" w:lineRule="exact"/>
        <w:ind w:firstLineChars="250" w:firstLine="703"/>
        <w:rPr>
          <w:rFonts w:ascii="仿宋_GB2312" w:eastAsia="仿宋_GB2312" w:hAnsi="仿宋_GB2312" w:cs="仿宋_GB2312"/>
          <w:sz w:val="28"/>
          <w:szCs w:val="28"/>
        </w:rPr>
      </w:pPr>
      <w:r>
        <w:rPr>
          <w:rFonts w:ascii="仿宋_GB2312" w:eastAsia="仿宋_GB2312" w:hAnsi="仿宋_GB2312" w:cs="仿宋_GB2312"/>
          <w:b/>
          <w:color w:val="000000" w:themeColor="text1"/>
          <w:sz w:val="28"/>
          <w:szCs w:val="28"/>
        </w:rPr>
        <w:pict w14:anchorId="21EDDCAB">
          <v:shapetype id="_x0000_t202" coordsize="21600,21600" o:spt="202" path="m,l,21600r21600,l21600,xe">
            <v:stroke joinstyle="miter"/>
            <v:path gradientshapeok="t" o:connecttype="rect"/>
          </v:shapetype>
          <v:shape id="_x0000_s2053" type="#_x0000_t202" style="position:absolute;left:0;text-align:left;margin-left:258.8pt;margin-top:5.9pt;width:156.55pt;height:243.1pt;z-index:251660288;mso-wrap-distance-left:9pt;mso-wrap-distance-top:0;mso-wrap-distance-right:9pt;mso-wrap-distance-bottom:0;mso-width-relative:margin;mso-height-relative:margin" strokecolor="#f2f2f2">
            <v:textbox>
              <w:txbxContent>
                <w:p w14:paraId="456C7D52" w14:textId="77777777" w:rsidR="00172EF0" w:rsidRDefault="00000000">
                  <w:r>
                    <w:rPr>
                      <w:noProof/>
                    </w:rPr>
                    <w:drawing>
                      <wp:inline distT="0" distB="0" distL="0" distR="0" wp14:anchorId="719FF3E2" wp14:editId="205C265B">
                        <wp:extent cx="1818005" cy="2423795"/>
                        <wp:effectExtent l="19050" t="0" r="0" b="0"/>
                        <wp:docPr id="6" name="图片 1" descr="E:\Desktop-文献\2023\（02.02）主导品种主推技术推荐\果园生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E:\Desktop-文献\2023\（02.02）主导品种主推技术推荐\果园生草.jpg"/>
                                <pic:cNvPicPr>
                                  <a:picLocks noChangeAspect="1" noChangeArrowheads="1"/>
                                </pic:cNvPicPr>
                              </pic:nvPicPr>
                              <pic:blipFill>
                                <a:blip r:embed="rId8"/>
                                <a:srcRect/>
                                <a:stretch>
                                  <a:fillRect/>
                                </a:stretch>
                              </pic:blipFill>
                              <pic:spPr>
                                <a:xfrm>
                                  <a:off x="0" y="0"/>
                                  <a:ext cx="1820729" cy="2427639"/>
                                </a:xfrm>
                                <a:prstGeom prst="rect">
                                  <a:avLst/>
                                </a:prstGeom>
                                <a:noFill/>
                                <a:ln w="9525">
                                  <a:noFill/>
                                  <a:miter lim="800000"/>
                                  <a:headEnd/>
                                  <a:tailEnd/>
                                </a:ln>
                              </pic:spPr>
                            </pic:pic>
                          </a:graphicData>
                        </a:graphic>
                      </wp:inline>
                    </w:drawing>
                  </w:r>
                </w:p>
                <w:p w14:paraId="6E10873B" w14:textId="77777777" w:rsidR="00172EF0" w:rsidRPr="00207DED" w:rsidRDefault="00000000">
                  <w:pPr>
                    <w:jc w:val="center"/>
                    <w:rPr>
                      <w:rFonts w:ascii="仿宋_GB2312" w:eastAsia="仿宋_GB2312" w:hAnsi="楷体"/>
                      <w:b/>
                      <w:bCs/>
                      <w:sz w:val="24"/>
                      <w:szCs w:val="24"/>
                    </w:rPr>
                  </w:pPr>
                  <w:r w:rsidRPr="00207DED">
                    <w:rPr>
                      <w:rFonts w:ascii="仿宋_GB2312" w:eastAsia="仿宋_GB2312" w:hAnsi="楷体" w:hint="eastAsia"/>
                      <w:b/>
                      <w:bCs/>
                      <w:sz w:val="24"/>
                      <w:szCs w:val="24"/>
                    </w:rPr>
                    <w:t>果园生草</w:t>
                  </w:r>
                </w:p>
              </w:txbxContent>
            </v:textbox>
            <w10:wrap type="square"/>
          </v:shape>
        </w:pict>
      </w:r>
      <w:r>
        <w:rPr>
          <w:rFonts w:ascii="仿宋_GB2312" w:eastAsia="仿宋_GB2312" w:hAnsi="仿宋_GB2312" w:cs="仿宋_GB2312" w:hint="eastAsia"/>
          <w:sz w:val="28"/>
          <w:szCs w:val="28"/>
        </w:rPr>
        <w:t>根据上海地区的气候、土壤等条件以及果园种植模式和树种特点，上海果园生草栽培核心技术要点如下：</w:t>
      </w:r>
    </w:p>
    <w:p w14:paraId="3B5EC4E7" w14:textId="77777777" w:rsidR="00172EF0" w:rsidRDefault="00000000" w:rsidP="008525D9">
      <w:pPr>
        <w:spacing w:after="0" w:line="64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1、果园生草模式</w:t>
      </w:r>
    </w:p>
    <w:p w14:paraId="3DB4A47D" w14:textId="77777777" w:rsidR="00172EF0" w:rsidRDefault="00000000" w:rsidP="008525D9">
      <w:pPr>
        <w:spacing w:after="0" w:line="64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主要包括上海地区适宜的生草栽培方式选择。一般来说，上海地区果园主要选择秋季人工生草和夏季自然生草相结合的生草模式。</w:t>
      </w:r>
    </w:p>
    <w:p w14:paraId="56172FB1" w14:textId="77777777" w:rsidR="00172EF0" w:rsidRDefault="00000000" w:rsidP="008525D9">
      <w:pPr>
        <w:spacing w:after="0" w:line="64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2、人工生草品种选择</w:t>
      </w:r>
    </w:p>
    <w:p w14:paraId="528D82CD" w14:textId="50A155D4" w:rsidR="00172EF0" w:rsidRDefault="00000000" w:rsidP="008525D9">
      <w:pPr>
        <w:spacing w:after="0" w:line="64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主要包括生草方式、草种选择原则和品种。土壤深厚、肥沃、果树根系</w:t>
      </w:r>
      <w:proofErr w:type="gramStart"/>
      <w:r>
        <w:rPr>
          <w:rFonts w:ascii="仿宋_GB2312" w:eastAsia="仿宋_GB2312" w:hAnsi="仿宋_GB2312" w:cs="仿宋_GB2312" w:hint="eastAsia"/>
          <w:sz w:val="28"/>
          <w:szCs w:val="28"/>
        </w:rPr>
        <w:t>分布深</w:t>
      </w:r>
      <w:proofErr w:type="gramEnd"/>
      <w:r>
        <w:rPr>
          <w:rFonts w:ascii="仿宋_GB2312" w:eastAsia="仿宋_GB2312" w:hAnsi="仿宋_GB2312" w:cs="仿宋_GB2312" w:hint="eastAsia"/>
          <w:sz w:val="28"/>
          <w:szCs w:val="28"/>
        </w:rPr>
        <w:t>的成龄果园，可全园生草，但也要避免在树盘下（距离主干50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cm以内）生草；反之，土壤肥力一般的果园及土层较浅、根系分布较浅的幼龄果园，采用行间生草方式。草种应适应上海地区生态气候条件，人工生草品种选择主要有大叶黄花苜蓿、光叶紫花</w:t>
      </w:r>
      <w:proofErr w:type="gramStart"/>
      <w:r>
        <w:rPr>
          <w:rFonts w:ascii="仿宋_GB2312" w:eastAsia="仿宋_GB2312" w:hAnsi="仿宋_GB2312" w:cs="仿宋_GB2312" w:hint="eastAsia"/>
          <w:sz w:val="28"/>
          <w:szCs w:val="28"/>
        </w:rPr>
        <w:t>苕</w:t>
      </w:r>
      <w:proofErr w:type="gramEnd"/>
      <w:r>
        <w:rPr>
          <w:rFonts w:ascii="仿宋_GB2312" w:eastAsia="仿宋_GB2312" w:hAnsi="仿宋_GB2312" w:cs="仿宋_GB2312" w:hint="eastAsia"/>
          <w:sz w:val="28"/>
          <w:szCs w:val="28"/>
        </w:rPr>
        <w:t>、白花三叶草、野豌豆等，观光采摘园兼顾观赏性的可选择彩色油菜、红花苜蓿、紫云英等。</w:t>
      </w:r>
    </w:p>
    <w:p w14:paraId="19DFC2B9" w14:textId="6F8FF2CF" w:rsidR="00172EF0" w:rsidRDefault="00172EF0" w:rsidP="008525D9">
      <w:pPr>
        <w:spacing w:after="0" w:line="640" w:lineRule="exact"/>
        <w:jc w:val="center"/>
        <w:rPr>
          <w:rFonts w:ascii="仿宋_GB2312" w:eastAsia="仿宋_GB2312" w:hAnsi="仿宋_GB2312" w:cs="仿宋_GB2312"/>
          <w:sz w:val="28"/>
          <w:szCs w:val="28"/>
        </w:rPr>
      </w:pPr>
    </w:p>
    <w:p w14:paraId="383DFB4A" w14:textId="68BBA18A" w:rsidR="00172EF0" w:rsidRDefault="00DD70E3" w:rsidP="008525D9">
      <w:pPr>
        <w:spacing w:after="0" w:line="640" w:lineRule="exact"/>
        <w:ind w:firstLineChars="200" w:firstLine="560"/>
        <w:rPr>
          <w:rFonts w:ascii="仿宋_GB2312" w:eastAsia="仿宋_GB2312" w:hAnsi="仿宋_GB2312" w:cs="仿宋_GB2312"/>
          <w:b/>
          <w:bCs/>
          <w:sz w:val="28"/>
          <w:szCs w:val="28"/>
        </w:rPr>
      </w:pPr>
      <w:r>
        <w:rPr>
          <w:rFonts w:ascii="楷体" w:eastAsia="楷体" w:hAnsi="楷体"/>
          <w:noProof/>
          <w:sz w:val="28"/>
          <w:szCs w:val="28"/>
        </w:rPr>
        <w:lastRenderedPageBreak/>
        <w:drawing>
          <wp:anchor distT="0" distB="0" distL="114300" distR="114300" simplePos="0" relativeHeight="251649536" behindDoc="0" locked="0" layoutInCell="1" allowOverlap="1" wp14:anchorId="3D37539A" wp14:editId="3A3E5327">
            <wp:simplePos x="0" y="0"/>
            <wp:positionH relativeFrom="column">
              <wp:posOffset>127000</wp:posOffset>
            </wp:positionH>
            <wp:positionV relativeFrom="paragraph">
              <wp:posOffset>69850</wp:posOffset>
            </wp:positionV>
            <wp:extent cx="5010150" cy="2373630"/>
            <wp:effectExtent l="0" t="0" r="0" b="0"/>
            <wp:wrapTopAndBottom/>
            <wp:docPr id="2" name="图片 1" descr="C:\Users\hp\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hp\Desktop\图片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010150" cy="2373630"/>
                    </a:xfrm>
                    <a:prstGeom prst="rect">
                      <a:avLst/>
                    </a:prstGeom>
                    <a:noFill/>
                    <a:ln w="9525">
                      <a:noFill/>
                      <a:miter lim="800000"/>
                      <a:headEnd/>
                      <a:tailEnd/>
                    </a:ln>
                  </pic:spPr>
                </pic:pic>
              </a:graphicData>
            </a:graphic>
            <wp14:sizeRelV relativeFrom="margin">
              <wp14:pctHeight>0</wp14:pctHeight>
            </wp14:sizeRelV>
          </wp:anchor>
        </w:drawing>
      </w:r>
      <w:r>
        <w:rPr>
          <w:rFonts w:ascii="仿宋_GB2312" w:eastAsia="仿宋_GB2312" w:hAnsi="仿宋_GB2312" w:cs="仿宋_GB2312" w:hint="eastAsia"/>
          <w:b/>
          <w:bCs/>
          <w:sz w:val="28"/>
          <w:szCs w:val="28"/>
        </w:rPr>
        <w:t>3、人工生草播种技术</w:t>
      </w:r>
    </w:p>
    <w:p w14:paraId="3CDE15AF" w14:textId="70FA5CB8" w:rsidR="00172EF0" w:rsidRDefault="00000000" w:rsidP="008525D9">
      <w:pPr>
        <w:spacing w:after="0" w:line="64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包括前期准备、播种时间、种子处理、播种量、播种方法、播种后管理等技术。播种前清除地面残茬、枝叶、杂草，旋耕10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cm-30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cm土层土壤，每亩撒施50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kg三元复合肥，并平整土地，保持</w:t>
      </w:r>
      <w:proofErr w:type="gramStart"/>
      <w:r>
        <w:rPr>
          <w:rFonts w:ascii="仿宋_GB2312" w:eastAsia="仿宋_GB2312" w:hAnsi="仿宋_GB2312" w:cs="仿宋_GB2312" w:hint="eastAsia"/>
          <w:sz w:val="28"/>
          <w:szCs w:val="28"/>
        </w:rPr>
        <w:t>播种畦面平整</w:t>
      </w:r>
      <w:proofErr w:type="gramEnd"/>
      <w:r>
        <w:rPr>
          <w:rFonts w:ascii="仿宋_GB2312" w:eastAsia="仿宋_GB2312" w:hAnsi="仿宋_GB2312" w:cs="仿宋_GB2312" w:hint="eastAsia"/>
          <w:sz w:val="28"/>
          <w:szCs w:val="28"/>
        </w:rPr>
        <w:t>疏松。上海地区生草推荐秋季播种，播种时间为9月中旬-10上旬，气温稳定在15℃-20℃最适宜，在灌溉后或雨后、土壤有较好的墒情时播种。播种前先对生草种子进行暴晒和浸种，根据土壤墒情适当调整用种量，播种方法主要有撒播和条播。种子出苗时忌缺水，连阴雨时要清沟排渍。幼苗期生长弱，要及时清除杂草。</w:t>
      </w:r>
    </w:p>
    <w:p w14:paraId="2CD29CC8" w14:textId="0BDACE2A" w:rsidR="00172EF0" w:rsidRDefault="00DD70E3" w:rsidP="0005241F">
      <w:pPr>
        <w:spacing w:after="0" w:line="640" w:lineRule="exact"/>
        <w:rPr>
          <w:rFonts w:ascii="仿宋_GB2312" w:eastAsia="仿宋_GB2312" w:hAnsi="仿宋_GB2312" w:cs="仿宋_GB2312"/>
          <w:b/>
          <w:bCs/>
          <w:sz w:val="28"/>
          <w:szCs w:val="28"/>
        </w:rPr>
      </w:pPr>
      <w:r>
        <w:rPr>
          <w:rFonts w:ascii="楷体" w:eastAsia="楷体" w:hAnsi="楷体"/>
          <w:noProof/>
          <w:sz w:val="28"/>
          <w:szCs w:val="28"/>
        </w:rPr>
        <w:lastRenderedPageBreak/>
        <w:drawing>
          <wp:anchor distT="0" distB="0" distL="114300" distR="114300" simplePos="0" relativeHeight="251650560" behindDoc="0" locked="0" layoutInCell="1" allowOverlap="1" wp14:anchorId="23C0E1D0" wp14:editId="68CF0333">
            <wp:simplePos x="0" y="0"/>
            <wp:positionH relativeFrom="column">
              <wp:posOffset>596900</wp:posOffset>
            </wp:positionH>
            <wp:positionV relativeFrom="paragraph">
              <wp:posOffset>25400</wp:posOffset>
            </wp:positionV>
            <wp:extent cx="4069715" cy="4942840"/>
            <wp:effectExtent l="0" t="0" r="0" b="0"/>
            <wp:wrapTopAndBottom/>
            <wp:docPr id="1" name="对象 1"/>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4401578" cy="5702082"/>
                      <a:chOff x="1571604" y="571480"/>
                      <a:chExt cx="4401578" cy="5702082"/>
                    </a:xfrm>
                  </a:grpSpPr>
                  <a:grpSp>
                    <a:nvGrpSpPr>
                      <a:cNvPr id="10" name="组合 9"/>
                      <a:cNvGrpSpPr/>
                    </a:nvGrpSpPr>
                    <a:grpSpPr>
                      <a:xfrm>
                        <a:off x="1571604" y="571480"/>
                        <a:ext cx="4401578" cy="5702082"/>
                        <a:chOff x="1571604" y="571480"/>
                        <a:chExt cx="4401578" cy="5702082"/>
                      </a:xfrm>
                    </a:grpSpPr>
                    <a:pic>
                      <a:nvPicPr>
                        <a:cNvPr id="1026" name="Picture 2" descr="E:\项目\中心小课题\2018\照片\微信图片_20190428133559.jpg"/>
                        <a:cNvPicPr>
                          <a:picLocks noChangeAspect="1" noChangeArrowheads="1"/>
                        </a:cNvPicPr>
                      </a:nvPicPr>
                      <a:blipFill>
                        <a:blip r:embed="rId10"/>
                        <a:srcRect/>
                        <a:stretch>
                          <a:fillRect/>
                        </a:stretch>
                      </a:blipFill>
                      <a:spPr bwMode="auto">
                        <a:xfrm>
                          <a:off x="1571604" y="3357562"/>
                          <a:ext cx="2187000" cy="2916000"/>
                        </a:xfrm>
                        <a:prstGeom prst="rect">
                          <a:avLst/>
                        </a:prstGeom>
                        <a:noFill/>
                      </a:spPr>
                    </a:pic>
                    <a:pic>
                      <a:nvPicPr>
                        <a:cNvPr id="1027" name="Picture 3" descr="E:\项目\中心小课题\2018\照片\微信图片_20191014090238.jpg"/>
                        <a:cNvPicPr>
                          <a:picLocks noChangeAspect="1" noChangeArrowheads="1"/>
                        </a:cNvPicPr>
                      </a:nvPicPr>
                      <a:blipFill>
                        <a:blip r:embed="rId11"/>
                        <a:srcRect/>
                        <a:stretch>
                          <a:fillRect/>
                        </a:stretch>
                      </a:blipFill>
                      <a:spPr bwMode="auto">
                        <a:xfrm>
                          <a:off x="1571604" y="571480"/>
                          <a:ext cx="2187000" cy="2916000"/>
                        </a:xfrm>
                        <a:prstGeom prst="rect">
                          <a:avLst/>
                        </a:prstGeom>
                        <a:noFill/>
                      </a:spPr>
                    </a:pic>
                    <a:pic>
                      <a:nvPicPr>
                        <a:cNvPr id="1028" name="Picture 4" descr="E:\项目\中心小课题\2018\照片\微信图片_20191014090106.jpg"/>
                        <a:cNvPicPr>
                          <a:picLocks noChangeAspect="1" noChangeArrowheads="1"/>
                        </a:cNvPicPr>
                      </a:nvPicPr>
                      <a:blipFill>
                        <a:blip r:embed="rId12"/>
                        <a:srcRect/>
                        <a:stretch>
                          <a:fillRect/>
                        </a:stretch>
                      </a:blipFill>
                      <a:spPr bwMode="auto">
                        <a:xfrm>
                          <a:off x="3786182" y="3357562"/>
                          <a:ext cx="2187000" cy="2916000"/>
                        </a:xfrm>
                        <a:prstGeom prst="rect">
                          <a:avLst/>
                        </a:prstGeom>
                        <a:noFill/>
                      </a:spPr>
                    </a:pic>
                    <a:pic>
                      <a:nvPicPr>
                        <a:cNvPr id="1029" name="Picture 5" descr="E:\项目\中心小课题\2018\照片\微信图片_20190428133622.jpg"/>
                        <a:cNvPicPr>
                          <a:picLocks noChangeAspect="1" noChangeArrowheads="1"/>
                        </a:cNvPicPr>
                      </a:nvPicPr>
                      <a:blipFill>
                        <a:blip r:embed="rId13"/>
                        <a:srcRect/>
                        <a:stretch>
                          <a:fillRect/>
                        </a:stretch>
                      </a:blipFill>
                      <a:spPr bwMode="auto">
                        <a:xfrm>
                          <a:off x="3786182" y="571480"/>
                          <a:ext cx="2187000" cy="2916000"/>
                        </a:xfrm>
                        <a:prstGeom prst="rect">
                          <a:avLst/>
                        </a:prstGeom>
                        <a:noFill/>
                      </a:spPr>
                    </a:pic>
                    <a:sp>
                      <a:nvSpPr>
                        <a:cNvPr id="6" name="TextBox 5"/>
                        <a:cNvSpPr txBox="1"/>
                      </a:nvSpPr>
                      <a:spPr>
                        <a:xfrm>
                          <a:off x="2428860" y="3000372"/>
                          <a:ext cx="723275" cy="307777"/>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solidFill>
                                  <a:schemeClr val="bg1"/>
                                </a:solidFill>
                                <a:latin typeface="楷体" panose="02010609060101010101" pitchFamily="3" charset="-122"/>
                                <a:ea typeface="楷体" panose="02010609060101010101" pitchFamily="3" charset="-122"/>
                              </a:rPr>
                              <a:t>除杂草</a:t>
                            </a:r>
                            <a:endParaRPr lang="zh-CN" altLang="en-US" sz="1400" b="1" dirty="0">
                              <a:solidFill>
                                <a:schemeClr val="bg1"/>
                              </a:solidFill>
                              <a:latin typeface="楷体" panose="02010609060101010101" pitchFamily="3" charset="-122"/>
                              <a:ea typeface="楷体" panose="02010609060101010101" pitchFamily="3" charset="-122"/>
                            </a:endParaRPr>
                          </a:p>
                        </a:txBody>
                        <a:useSpRect/>
                      </a:txSp>
                    </a:sp>
                    <a:sp>
                      <a:nvSpPr>
                        <a:cNvPr id="7" name="TextBox 6"/>
                        <a:cNvSpPr txBox="1"/>
                      </a:nvSpPr>
                      <a:spPr>
                        <a:xfrm>
                          <a:off x="4572000" y="3071810"/>
                          <a:ext cx="902811" cy="307777"/>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solidFill>
                                  <a:schemeClr val="bg1"/>
                                </a:solidFill>
                                <a:latin typeface="楷体" panose="02010609060101010101" pitchFamily="3" charset="-122"/>
                                <a:ea typeface="楷体" panose="02010609060101010101" pitchFamily="3" charset="-122"/>
                              </a:rPr>
                              <a:t>旋耕松土</a:t>
                            </a:r>
                            <a:endParaRPr lang="zh-CN" altLang="en-US" sz="1400" b="1" dirty="0">
                              <a:solidFill>
                                <a:schemeClr val="bg1"/>
                              </a:solidFill>
                              <a:latin typeface="楷体" panose="02010609060101010101" pitchFamily="3" charset="-122"/>
                              <a:ea typeface="楷体" panose="02010609060101010101" pitchFamily="3" charset="-122"/>
                            </a:endParaRPr>
                          </a:p>
                        </a:txBody>
                        <a:useSpRect/>
                      </a:txSp>
                    </a:sp>
                    <a:sp>
                      <a:nvSpPr>
                        <a:cNvPr id="8" name="TextBox 7"/>
                        <a:cNvSpPr txBox="1"/>
                      </a:nvSpPr>
                      <a:spPr>
                        <a:xfrm>
                          <a:off x="2428860" y="5929330"/>
                          <a:ext cx="543739" cy="307777"/>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solidFill>
                                  <a:schemeClr val="bg1"/>
                                </a:solidFill>
                                <a:latin typeface="楷体" panose="02010609060101010101" pitchFamily="3" charset="-122"/>
                                <a:ea typeface="楷体" panose="02010609060101010101" pitchFamily="3" charset="-122"/>
                              </a:rPr>
                              <a:t>播种</a:t>
                            </a:r>
                            <a:endParaRPr lang="zh-CN" altLang="en-US" sz="1400" b="1" dirty="0">
                              <a:solidFill>
                                <a:schemeClr val="bg1"/>
                              </a:solidFill>
                              <a:latin typeface="楷体" panose="02010609060101010101" pitchFamily="3" charset="-122"/>
                              <a:ea typeface="楷体" panose="02010609060101010101" pitchFamily="3" charset="-122"/>
                            </a:endParaRPr>
                          </a:p>
                        </a:txBody>
                        <a:useSpRect/>
                      </a:txSp>
                    </a:sp>
                    <a:sp>
                      <a:nvSpPr>
                        <a:cNvPr id="9" name="TextBox 8"/>
                        <a:cNvSpPr txBox="1"/>
                      </a:nvSpPr>
                      <a:spPr>
                        <a:xfrm>
                          <a:off x="4572000" y="5929330"/>
                          <a:ext cx="543739" cy="307777"/>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400" b="1" dirty="0" smtClean="0">
                                <a:solidFill>
                                  <a:schemeClr val="bg1"/>
                                </a:solidFill>
                                <a:latin typeface="楷体" panose="02010609060101010101" pitchFamily="3" charset="-122"/>
                                <a:ea typeface="楷体" panose="02010609060101010101" pitchFamily="3" charset="-122"/>
                              </a:rPr>
                              <a:t>浇水</a:t>
                            </a:r>
                            <a:endParaRPr lang="zh-CN" altLang="en-US" sz="1400" b="1" dirty="0">
                              <a:solidFill>
                                <a:schemeClr val="bg1"/>
                              </a:solidFill>
                              <a:latin typeface="楷体" panose="02010609060101010101" pitchFamily="3" charset="-122"/>
                              <a:ea typeface="楷体" panose="02010609060101010101" pitchFamily="3" charset="-122"/>
                            </a:endParaRPr>
                          </a:p>
                        </a:txBody>
                        <a:useSpRect/>
                      </a:txSp>
                    </a:sp>
                  </a:grpSp>
                </lc:lockedCanvas>
              </a:graphicData>
            </a:graphic>
          </wp:anchor>
        </w:drawing>
      </w:r>
      <w:r>
        <w:rPr>
          <w:rFonts w:ascii="仿宋_GB2312" w:eastAsia="仿宋_GB2312" w:hAnsi="仿宋_GB2312" w:cs="仿宋_GB2312" w:hint="eastAsia"/>
          <w:b/>
          <w:bCs/>
          <w:sz w:val="28"/>
          <w:szCs w:val="28"/>
        </w:rPr>
        <w:t>4、人工生草苗期管理</w:t>
      </w:r>
    </w:p>
    <w:p w14:paraId="26D5670B" w14:textId="14832466" w:rsidR="00172EF0" w:rsidRDefault="00000000" w:rsidP="008525D9">
      <w:pPr>
        <w:spacing w:after="0" w:line="64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主要包括清除杂草、肥水管理、适时刈割、翻压等技术。在种草的初期， 应及时人工摘除一些高秆、阔叶、深根性的杂草。当草长至10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cm左右，结合降雨撒施尿素，半月后再施1次。一般当草苗长到30 cm左右时要适时进行刈割，全年一般刈割2-3次。如果果园连续生产超过5年，土壤的结构改变、质量降低，则需要对土壤开展深翻耕压管理，将草类</w:t>
      </w:r>
      <w:proofErr w:type="gramStart"/>
      <w:r>
        <w:rPr>
          <w:rFonts w:ascii="仿宋_GB2312" w:eastAsia="仿宋_GB2312" w:hAnsi="仿宋_GB2312" w:cs="仿宋_GB2312" w:hint="eastAsia"/>
          <w:sz w:val="28"/>
          <w:szCs w:val="28"/>
        </w:rPr>
        <w:t>直接翻埋入土</w:t>
      </w:r>
      <w:proofErr w:type="gramEnd"/>
      <w:r>
        <w:rPr>
          <w:rFonts w:ascii="仿宋_GB2312" w:eastAsia="仿宋_GB2312" w:hAnsi="仿宋_GB2312" w:cs="仿宋_GB2312" w:hint="eastAsia"/>
          <w:sz w:val="28"/>
          <w:szCs w:val="28"/>
        </w:rPr>
        <w:t>，深度20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cm-30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w:t>
      </w:r>
    </w:p>
    <w:p w14:paraId="798229CF" w14:textId="1F3AE8A0" w:rsidR="00172EF0" w:rsidRPr="00F75250" w:rsidRDefault="00657A9E" w:rsidP="00657A9E">
      <w:pPr>
        <w:spacing w:after="0" w:line="640" w:lineRule="exact"/>
        <w:jc w:val="center"/>
        <w:rPr>
          <w:rFonts w:ascii="仿宋_GB2312" w:eastAsia="仿宋_GB2312" w:hAnsi="仿宋_GB2312" w:cs="仿宋_GB2312"/>
          <w:b/>
          <w:bCs/>
          <w:sz w:val="24"/>
          <w:szCs w:val="24"/>
        </w:rPr>
      </w:pPr>
      <w:r w:rsidRPr="00F75250">
        <w:rPr>
          <w:rFonts w:ascii="楷体" w:eastAsia="楷体" w:hAnsi="楷体"/>
          <w:b/>
          <w:bCs/>
          <w:noProof/>
          <w:sz w:val="24"/>
          <w:szCs w:val="24"/>
        </w:rPr>
        <w:lastRenderedPageBreak/>
        <w:drawing>
          <wp:anchor distT="0" distB="0" distL="114300" distR="114300" simplePos="0" relativeHeight="251659264" behindDoc="0" locked="0" layoutInCell="1" allowOverlap="1" wp14:anchorId="5F05F76D" wp14:editId="6AD14A9C">
            <wp:simplePos x="0" y="0"/>
            <wp:positionH relativeFrom="column">
              <wp:posOffset>3067050</wp:posOffset>
            </wp:positionH>
            <wp:positionV relativeFrom="paragraph">
              <wp:posOffset>95250</wp:posOffset>
            </wp:positionV>
            <wp:extent cx="1705610" cy="1880235"/>
            <wp:effectExtent l="0" t="0" r="0" b="0"/>
            <wp:wrapTopAndBottom/>
            <wp:docPr id="5" name="图片 3" descr="E:\工作照片\2020\9.27-29果树技术培训\IMG_20200928_10144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E:\工作照片\2020\9.27-29果树技术培训\IMG_20200928_101445_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05610" cy="1880235"/>
                    </a:xfrm>
                    <a:prstGeom prst="rect">
                      <a:avLst/>
                    </a:prstGeom>
                    <a:noFill/>
                  </pic:spPr>
                </pic:pic>
              </a:graphicData>
            </a:graphic>
          </wp:anchor>
        </w:drawing>
      </w:r>
      <w:r w:rsidRPr="00F75250">
        <w:rPr>
          <w:rFonts w:ascii="楷体" w:eastAsia="楷体" w:hAnsi="楷体"/>
          <w:b/>
          <w:bCs/>
          <w:noProof/>
          <w:sz w:val="24"/>
          <w:szCs w:val="24"/>
        </w:rPr>
        <w:drawing>
          <wp:anchor distT="0" distB="0" distL="114300" distR="114300" simplePos="0" relativeHeight="251657216" behindDoc="0" locked="0" layoutInCell="1" allowOverlap="1" wp14:anchorId="56666921" wp14:editId="544AEB80">
            <wp:simplePos x="0" y="0"/>
            <wp:positionH relativeFrom="column">
              <wp:posOffset>247650</wp:posOffset>
            </wp:positionH>
            <wp:positionV relativeFrom="paragraph">
              <wp:posOffset>88900</wp:posOffset>
            </wp:positionV>
            <wp:extent cx="2551430" cy="1880235"/>
            <wp:effectExtent l="0" t="0" r="0" b="0"/>
            <wp:wrapTopAndBottom/>
            <wp:docPr id="4" name="图片 2" descr="http://5b0988e595225.cdn.sohucs.com/images/20191012/c502850c48da436991d7eb9134e362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http://5b0988e595225.cdn.sohucs.com/images/20191012/c502850c48da436991d7eb9134e3621d.jpeg"/>
                    <pic:cNvPicPr>
                      <a:picLocks noChangeAspect="1" noChangeArrowheads="1"/>
                    </pic:cNvPicPr>
                  </pic:nvPicPr>
                  <pic:blipFill>
                    <a:blip r:embed="rId15" cstate="print">
                      <a:extLst>
                        <a:ext uri="{28A0092B-C50C-407E-A947-70E740481C1C}">
                          <a14:useLocalDpi xmlns:a14="http://schemas.microsoft.com/office/drawing/2010/main" val="0"/>
                        </a:ext>
                      </a:extLst>
                    </a:blip>
                    <a:srcRect r="2499" b="10835"/>
                    <a:stretch>
                      <a:fillRect/>
                    </a:stretch>
                  </pic:blipFill>
                  <pic:spPr>
                    <a:xfrm>
                      <a:off x="0" y="0"/>
                      <a:ext cx="2551430" cy="1880235"/>
                    </a:xfrm>
                    <a:prstGeom prst="rect">
                      <a:avLst/>
                    </a:prstGeom>
                    <a:noFill/>
                  </pic:spPr>
                </pic:pic>
              </a:graphicData>
            </a:graphic>
          </wp:anchor>
        </w:drawing>
      </w:r>
      <w:r w:rsidRPr="00F75250">
        <w:rPr>
          <w:rFonts w:ascii="仿宋_GB2312" w:eastAsia="仿宋_GB2312" w:hAnsi="仿宋_GB2312" w:cs="仿宋_GB2312" w:hint="eastAsia"/>
          <w:b/>
          <w:bCs/>
          <w:sz w:val="24"/>
          <w:szCs w:val="24"/>
        </w:rPr>
        <w:t xml:space="preserve">适时刈割     </w:t>
      </w:r>
      <w:r w:rsidR="00F75250">
        <w:rPr>
          <w:rFonts w:ascii="仿宋_GB2312" w:eastAsia="仿宋_GB2312" w:hAnsi="仿宋_GB2312" w:cs="仿宋_GB2312" w:hint="eastAsia"/>
          <w:b/>
          <w:bCs/>
          <w:sz w:val="24"/>
          <w:szCs w:val="24"/>
        </w:rPr>
        <w:t xml:space="preserve">     </w:t>
      </w:r>
      <w:r w:rsidRPr="00F75250">
        <w:rPr>
          <w:rFonts w:ascii="仿宋_GB2312" w:eastAsia="仿宋_GB2312" w:hAnsi="仿宋_GB2312" w:cs="仿宋_GB2312" w:hint="eastAsia"/>
          <w:b/>
          <w:bCs/>
          <w:sz w:val="24"/>
          <w:szCs w:val="24"/>
        </w:rPr>
        <w:t xml:space="preserve">             树盘覆盖</w:t>
      </w:r>
    </w:p>
    <w:p w14:paraId="118ADC9E" w14:textId="2418F3C0" w:rsidR="00172EF0" w:rsidRDefault="00000000" w:rsidP="008525D9">
      <w:pPr>
        <w:spacing w:after="0" w:line="64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5、自然生草品种选择</w:t>
      </w:r>
    </w:p>
    <w:p w14:paraId="173E5AF7" w14:textId="587CAE83" w:rsidR="00172EF0" w:rsidRDefault="00000000" w:rsidP="008525D9">
      <w:pPr>
        <w:spacing w:after="0" w:line="64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主要包括生草种选择原则和主要品种。果园自然生长的各种野生草应是适应当地生态环境的野生草种，能形成稳定的自然生物群落。选择禾本科、豆科或十字花科等无木质化或半木质化茎、茎叶匍匐、覆盖面积大且须根多、浅根性、耗水量小的草种作为自然生草种类。</w:t>
      </w:r>
    </w:p>
    <w:p w14:paraId="4E3466BC" w14:textId="2490EEAC" w:rsidR="00172EF0" w:rsidRDefault="00000000" w:rsidP="008525D9">
      <w:pPr>
        <w:spacing w:after="0" w:line="64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6、自然生草栽培管理</w:t>
      </w:r>
    </w:p>
    <w:p w14:paraId="4B560C31" w14:textId="061810AF" w:rsidR="00172EF0" w:rsidRDefault="00000000" w:rsidP="008525D9">
      <w:pPr>
        <w:spacing w:after="0" w:line="64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主要包括刈割、除杂草等关键技术。6月中旬刈割，留茬高度10</w:t>
      </w:r>
      <w:r w:rsidR="001A6546">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cm以下。及时铲除植株高大、秸秆木质化的阔叶杂草及其他恶性杂草。</w:t>
      </w:r>
    </w:p>
    <w:p w14:paraId="3F1EA218" w14:textId="41C69838" w:rsidR="00172EF0" w:rsidRDefault="00000000" w:rsidP="008525D9">
      <w:pPr>
        <w:spacing w:after="0" w:line="640" w:lineRule="exact"/>
        <w:ind w:firstLine="640"/>
        <w:rPr>
          <w:rFonts w:ascii="仿宋_GB2312" w:eastAsia="仿宋_GB2312" w:hAnsi="仿宋_GB2312" w:cs="仿宋_GB2312"/>
          <w:color w:val="000000" w:themeColor="text1"/>
          <w:sz w:val="28"/>
          <w:szCs w:val="28"/>
        </w:rPr>
      </w:pPr>
      <w:r>
        <w:rPr>
          <w:rFonts w:ascii="黑体" w:eastAsia="黑体" w:hAnsi="黑体" w:cs="黑体" w:hint="eastAsia"/>
          <w:color w:val="000000" w:themeColor="text1"/>
          <w:sz w:val="32"/>
          <w:szCs w:val="32"/>
        </w:rPr>
        <w:t>三、适宜区域</w:t>
      </w:r>
    </w:p>
    <w:p w14:paraId="153D5AF2" w14:textId="503E1BC4" w:rsidR="00172EF0" w:rsidRDefault="00000000" w:rsidP="008525D9">
      <w:pPr>
        <w:spacing w:after="0" w:line="640" w:lineRule="exact"/>
        <w:ind w:firstLine="640"/>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可在全国范围内推广使用。</w:t>
      </w:r>
    </w:p>
    <w:p w14:paraId="6DD6C2CA" w14:textId="4223FC44" w:rsidR="00172EF0" w:rsidRDefault="00000000" w:rsidP="008525D9">
      <w:pPr>
        <w:spacing w:after="0" w:line="640" w:lineRule="exact"/>
        <w:ind w:firstLine="640"/>
        <w:rPr>
          <w:rFonts w:ascii="仿宋_GB2312" w:eastAsia="仿宋_GB2312" w:hAnsi="仿宋_GB2312" w:cs="仿宋_GB2312"/>
          <w:color w:val="000000" w:themeColor="text1"/>
          <w:sz w:val="28"/>
          <w:szCs w:val="28"/>
        </w:rPr>
      </w:pPr>
      <w:r>
        <w:rPr>
          <w:rFonts w:ascii="黑体" w:eastAsia="黑体" w:hAnsi="黑体" w:cs="黑体" w:hint="eastAsia"/>
          <w:color w:val="000000" w:themeColor="text1"/>
          <w:sz w:val="32"/>
          <w:szCs w:val="32"/>
        </w:rPr>
        <w:t>四、注意事项</w:t>
      </w:r>
    </w:p>
    <w:p w14:paraId="62FBA728" w14:textId="3F1781B6" w:rsidR="00172EF0" w:rsidRDefault="00000000" w:rsidP="008525D9">
      <w:pPr>
        <w:spacing w:after="0" w:line="640" w:lineRule="exact"/>
        <w:ind w:firstLine="640"/>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注意根据全国各地的气候选择适宜的生草品种。</w:t>
      </w:r>
    </w:p>
    <w:p w14:paraId="6B489966" w14:textId="2B369355" w:rsidR="00172EF0" w:rsidRDefault="00000000" w:rsidP="008525D9">
      <w:pPr>
        <w:spacing w:after="0" w:line="640" w:lineRule="exact"/>
        <w:ind w:firstLineChars="200" w:firstLine="640"/>
        <w:rPr>
          <w:rFonts w:ascii="仿宋_GB2312" w:eastAsia="仿宋_GB2312" w:hAnsi="仿宋_GB2312" w:cs="仿宋_GB2312"/>
          <w:color w:val="000000" w:themeColor="text1"/>
          <w:sz w:val="28"/>
          <w:szCs w:val="28"/>
        </w:rPr>
      </w:pPr>
      <w:r>
        <w:rPr>
          <w:rFonts w:ascii="黑体" w:eastAsia="黑体" w:hAnsi="黑体" w:cs="黑体" w:hint="eastAsia"/>
          <w:color w:val="000000" w:themeColor="text1"/>
          <w:sz w:val="32"/>
          <w:szCs w:val="32"/>
        </w:rPr>
        <w:t>五、技术依托单位</w:t>
      </w:r>
    </w:p>
    <w:p w14:paraId="5B31BF29" w14:textId="71461DD4" w:rsidR="00172EF0" w:rsidRDefault="008525D9" w:rsidP="008525D9">
      <w:pPr>
        <w:spacing w:after="0" w:line="640" w:lineRule="exact"/>
        <w:ind w:firstLineChars="200" w:firstLine="560"/>
        <w:rPr>
          <w:rFonts w:ascii="仿宋_GB2312" w:eastAsia="仿宋_GB2312" w:hAnsi="仿宋_GB2312" w:cs="仿宋_GB2312"/>
          <w:bCs/>
          <w:sz w:val="28"/>
          <w:szCs w:val="28"/>
        </w:rPr>
      </w:pPr>
      <w:r>
        <w:rPr>
          <w:rFonts w:ascii="仿宋_GB2312" w:eastAsia="仿宋_GB2312" w:hAnsi="仿宋_GB2312" w:cs="仿宋_GB2312" w:hint="eastAsia"/>
          <w:bCs/>
          <w:sz w:val="28"/>
          <w:szCs w:val="28"/>
        </w:rPr>
        <w:t>1.上海市农业技术推广服务中心</w:t>
      </w:r>
    </w:p>
    <w:p w14:paraId="1E7F7152" w14:textId="77777777" w:rsidR="00172EF0" w:rsidRDefault="00000000" w:rsidP="008525D9">
      <w:pPr>
        <w:spacing w:after="0" w:line="640" w:lineRule="exact"/>
        <w:ind w:firstLineChars="200" w:firstLine="560"/>
        <w:rPr>
          <w:rFonts w:ascii="仿宋_GB2312" w:eastAsia="仿宋_GB2312" w:hAnsi="仿宋_GB2312" w:cs="仿宋_GB2312"/>
          <w:bCs/>
          <w:sz w:val="28"/>
          <w:szCs w:val="28"/>
        </w:rPr>
      </w:pPr>
      <w:r>
        <w:rPr>
          <w:rFonts w:ascii="仿宋_GB2312" w:eastAsia="仿宋_GB2312" w:hAnsi="仿宋_GB2312" w:cs="仿宋_GB2312" w:hint="eastAsia"/>
          <w:bCs/>
          <w:sz w:val="28"/>
          <w:szCs w:val="28"/>
        </w:rPr>
        <w:lastRenderedPageBreak/>
        <w:t>联系地址：上海市闵行区吴中路628号</w:t>
      </w:r>
    </w:p>
    <w:p w14:paraId="1A2B2012" w14:textId="77777777" w:rsidR="00172EF0" w:rsidRDefault="00000000" w:rsidP="008525D9">
      <w:pPr>
        <w:spacing w:after="0" w:line="640" w:lineRule="exact"/>
        <w:ind w:firstLineChars="200" w:firstLine="560"/>
        <w:rPr>
          <w:rFonts w:ascii="仿宋_GB2312" w:eastAsia="仿宋_GB2312" w:hAnsi="仿宋_GB2312" w:cs="仿宋_GB2312"/>
          <w:bCs/>
          <w:sz w:val="28"/>
          <w:szCs w:val="28"/>
        </w:rPr>
      </w:pPr>
      <w:r>
        <w:rPr>
          <w:rFonts w:ascii="仿宋_GB2312" w:eastAsia="仿宋_GB2312" w:hAnsi="仿宋_GB2312" w:cs="仿宋_GB2312" w:hint="eastAsia"/>
          <w:bCs/>
          <w:sz w:val="28"/>
          <w:szCs w:val="28"/>
        </w:rPr>
        <w:t>邮政编码：201103</w:t>
      </w:r>
    </w:p>
    <w:p w14:paraId="037A1EBF" w14:textId="77777777" w:rsidR="00172EF0" w:rsidRDefault="00000000" w:rsidP="008525D9">
      <w:pPr>
        <w:spacing w:after="0" w:line="640" w:lineRule="exact"/>
        <w:ind w:firstLineChars="200" w:firstLine="560"/>
        <w:rPr>
          <w:rFonts w:ascii="仿宋_GB2312" w:eastAsia="仿宋_GB2312" w:hAnsi="仿宋_GB2312" w:cs="仿宋_GB2312"/>
          <w:bCs/>
          <w:sz w:val="28"/>
          <w:szCs w:val="28"/>
        </w:rPr>
      </w:pPr>
      <w:r>
        <w:rPr>
          <w:rFonts w:ascii="仿宋_GB2312" w:eastAsia="仿宋_GB2312" w:hAnsi="仿宋_GB2312" w:cs="仿宋_GB2312" w:hint="eastAsia"/>
          <w:bCs/>
          <w:sz w:val="28"/>
          <w:szCs w:val="28"/>
        </w:rPr>
        <w:t>联系人：李璇</w:t>
      </w:r>
    </w:p>
    <w:p w14:paraId="7EFA2E72" w14:textId="77777777" w:rsidR="00172EF0" w:rsidRDefault="00000000" w:rsidP="008525D9">
      <w:pPr>
        <w:spacing w:after="0" w:line="640" w:lineRule="exact"/>
        <w:ind w:firstLineChars="200" w:firstLine="560"/>
        <w:rPr>
          <w:rFonts w:ascii="仿宋_GB2312" w:eastAsia="仿宋_GB2312" w:hAnsi="仿宋_GB2312" w:cs="仿宋_GB2312"/>
          <w:bCs/>
          <w:sz w:val="28"/>
          <w:szCs w:val="28"/>
        </w:rPr>
      </w:pPr>
      <w:r>
        <w:rPr>
          <w:rFonts w:ascii="仿宋_GB2312" w:eastAsia="仿宋_GB2312" w:hAnsi="仿宋_GB2312" w:cs="仿宋_GB2312" w:hint="eastAsia"/>
          <w:bCs/>
          <w:sz w:val="28"/>
          <w:szCs w:val="28"/>
        </w:rPr>
        <w:t>联系电话：021-33507748/13764938642</w:t>
      </w:r>
    </w:p>
    <w:p w14:paraId="5ED4B9EF" w14:textId="77777777" w:rsidR="00172EF0" w:rsidRDefault="00000000" w:rsidP="008525D9">
      <w:pPr>
        <w:spacing w:after="0" w:line="64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bCs/>
          <w:sz w:val="28"/>
          <w:szCs w:val="28"/>
        </w:rPr>
        <w:t>电子邮箱：165267485@qq.com</w:t>
      </w:r>
    </w:p>
    <w:sectPr w:rsidR="00172EF0" w:rsidSect="00657A9E">
      <w:footerReference w:type="default" r:id="rId16"/>
      <w:pgSz w:w="11906" w:h="16838"/>
      <w:pgMar w:top="1440" w:right="1800" w:bottom="1440" w:left="1800" w:header="851" w:footer="85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8FFC4" w14:textId="77777777" w:rsidR="00033E6C" w:rsidRDefault="00033E6C" w:rsidP="00DD70E3">
      <w:pPr>
        <w:spacing w:after="0" w:line="240" w:lineRule="auto"/>
      </w:pPr>
      <w:r>
        <w:separator/>
      </w:r>
    </w:p>
  </w:endnote>
  <w:endnote w:type="continuationSeparator" w:id="0">
    <w:p w14:paraId="7D716ACB" w14:textId="77777777" w:rsidR="00033E6C" w:rsidRDefault="00033E6C" w:rsidP="00DD70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楷体">
    <w:altName w:val="方正楷体_GBK"/>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6596679"/>
      <w:docPartObj>
        <w:docPartGallery w:val="Page Numbers (Bottom of Page)"/>
        <w:docPartUnique/>
      </w:docPartObj>
    </w:sdtPr>
    <w:sdtContent>
      <w:p w14:paraId="771B3F6E" w14:textId="75192275" w:rsidR="00657A9E" w:rsidRDefault="00657A9E">
        <w:pPr>
          <w:pStyle w:val="a5"/>
          <w:jc w:val="center"/>
        </w:pPr>
        <w:r>
          <w:fldChar w:fldCharType="begin"/>
        </w:r>
        <w:r>
          <w:instrText>PAGE   \* MERGEFORMAT</w:instrText>
        </w:r>
        <w:r>
          <w:fldChar w:fldCharType="separate"/>
        </w:r>
        <w:r>
          <w:rPr>
            <w:lang w:val="zh-CN"/>
          </w:rPr>
          <w:t>2</w:t>
        </w:r>
        <w:r>
          <w:fldChar w:fldCharType="end"/>
        </w:r>
      </w:p>
    </w:sdtContent>
  </w:sdt>
  <w:p w14:paraId="4A654F22" w14:textId="77777777" w:rsidR="00657A9E" w:rsidRDefault="00657A9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2DA69" w14:textId="77777777" w:rsidR="00033E6C" w:rsidRDefault="00033E6C" w:rsidP="00DD70E3">
      <w:pPr>
        <w:spacing w:after="0" w:line="240" w:lineRule="auto"/>
      </w:pPr>
      <w:r>
        <w:separator/>
      </w:r>
    </w:p>
  </w:footnote>
  <w:footnote w:type="continuationSeparator" w:id="0">
    <w:p w14:paraId="20B13855" w14:textId="77777777" w:rsidR="00033E6C" w:rsidRDefault="00033E6C" w:rsidP="00DD70E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6747F6"/>
    <w:rsid w:val="D7FF9344"/>
    <w:rsid w:val="00021A91"/>
    <w:rsid w:val="00033E6C"/>
    <w:rsid w:val="0005241F"/>
    <w:rsid w:val="00131F38"/>
    <w:rsid w:val="00172EF0"/>
    <w:rsid w:val="001835D7"/>
    <w:rsid w:val="001A6546"/>
    <w:rsid w:val="00207DED"/>
    <w:rsid w:val="00212B4D"/>
    <w:rsid w:val="002147E4"/>
    <w:rsid w:val="00234539"/>
    <w:rsid w:val="002A5FC7"/>
    <w:rsid w:val="002C7297"/>
    <w:rsid w:val="002C7704"/>
    <w:rsid w:val="002D48FF"/>
    <w:rsid w:val="002F3654"/>
    <w:rsid w:val="003920E7"/>
    <w:rsid w:val="003A6094"/>
    <w:rsid w:val="003C008A"/>
    <w:rsid w:val="00417B42"/>
    <w:rsid w:val="00455F00"/>
    <w:rsid w:val="00523289"/>
    <w:rsid w:val="00530730"/>
    <w:rsid w:val="005C09B0"/>
    <w:rsid w:val="005D6BE5"/>
    <w:rsid w:val="00657A9E"/>
    <w:rsid w:val="006747F6"/>
    <w:rsid w:val="00786EE7"/>
    <w:rsid w:val="007E7A9F"/>
    <w:rsid w:val="008525D9"/>
    <w:rsid w:val="008F198C"/>
    <w:rsid w:val="009B7A36"/>
    <w:rsid w:val="00A254D1"/>
    <w:rsid w:val="00A91DC7"/>
    <w:rsid w:val="00BE6D88"/>
    <w:rsid w:val="00C04375"/>
    <w:rsid w:val="00D83CCD"/>
    <w:rsid w:val="00DC02EE"/>
    <w:rsid w:val="00DD70E3"/>
    <w:rsid w:val="00DF62E8"/>
    <w:rsid w:val="00E649CF"/>
    <w:rsid w:val="00EB0429"/>
    <w:rsid w:val="00F07A4E"/>
    <w:rsid w:val="00F1508D"/>
    <w:rsid w:val="00F455DE"/>
    <w:rsid w:val="00F75250"/>
    <w:rsid w:val="00FC24EB"/>
    <w:rsid w:val="00FE2349"/>
    <w:rsid w:val="00FE499E"/>
    <w:rsid w:val="3FFFA677"/>
    <w:rsid w:val="7D6FC85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fillcolor="white">
      <v:fill color="white"/>
    </o:shapedefaults>
    <o:shapelayout v:ext="edit">
      <o:idmap v:ext="edit" data="2"/>
    </o:shapelayout>
  </w:shapeDefaults>
  <w:decimalSymbol w:val="."/>
  <w:listSeparator w:val=","/>
  <w14:docId w14:val="28C71775"/>
  <w15:docId w15:val="{F8C290C2-CA8C-4898-8B7A-28B197902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4">
    <w:name w:val="批注框文本 字符"/>
    <w:basedOn w:val="a0"/>
    <w:link w:val="a3"/>
    <w:uiPriority w:val="99"/>
    <w:semiHidden/>
    <w:qFormat/>
    <w:rPr>
      <w:sz w:val="18"/>
      <w:szCs w:val="18"/>
    </w:rPr>
  </w:style>
  <w:style w:type="paragraph" w:styleId="a9">
    <w:name w:val="footnote text"/>
    <w:basedOn w:val="a"/>
    <w:link w:val="aa"/>
    <w:uiPriority w:val="99"/>
    <w:semiHidden/>
    <w:unhideWhenUsed/>
    <w:rsid w:val="00657A9E"/>
    <w:pPr>
      <w:snapToGrid w:val="0"/>
      <w:jc w:val="left"/>
    </w:pPr>
    <w:rPr>
      <w:sz w:val="18"/>
      <w:szCs w:val="18"/>
    </w:rPr>
  </w:style>
  <w:style w:type="character" w:customStyle="1" w:styleId="aa">
    <w:name w:val="脚注文本 字符"/>
    <w:basedOn w:val="a0"/>
    <w:link w:val="a9"/>
    <w:uiPriority w:val="99"/>
    <w:semiHidden/>
    <w:rsid w:val="00657A9E"/>
    <w:rPr>
      <w:kern w:val="2"/>
      <w:sz w:val="18"/>
      <w:szCs w:val="18"/>
    </w:rPr>
  </w:style>
  <w:style w:type="character" w:styleId="ab">
    <w:name w:val="footnote reference"/>
    <w:basedOn w:val="a0"/>
    <w:uiPriority w:val="99"/>
    <w:semiHidden/>
    <w:unhideWhenUsed/>
    <w:rsid w:val="00657A9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EC5125D-0710-48DA-8316-AA6405FE6B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7</Pages>
  <Words>990</Words>
  <Characters>1091</Characters>
  <Application>Microsoft Office Word</Application>
  <DocSecurity>0</DocSecurity>
  <Lines>60</Lines>
  <Paragraphs>65</Paragraphs>
  <ScaleCrop>false</ScaleCrop>
  <Company/>
  <LinksUpToDate>false</LinksUpToDate>
  <CharactersWithSpaces>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海粟 鄭</cp:lastModifiedBy>
  <cp:revision>20</cp:revision>
  <cp:lastPrinted>2025-01-23T07:36:00Z</cp:lastPrinted>
  <dcterms:created xsi:type="dcterms:W3CDTF">2023-02-17T06:56:00Z</dcterms:created>
  <dcterms:modified xsi:type="dcterms:W3CDTF">2025-04-18T04:50:00Z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2052-11.8.2.10290</vt:lpwstr>
  </property>
  <property fmtid="{D5CDD505-2E9C-101B-9397-08002B2CF9AE}" pid="3" name="ICV">
    <vt:lpwstr>AEDC069D311FE92F907BB0652E50F42A</vt:lpwstr>
  </property>
</Properties>
</file>