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Times New Roman" w:hAnsi="Times New Roman" w:eastAsia="华文中宋"/>
          <w:sz w:val="36"/>
          <w:szCs w:val="36"/>
        </w:rPr>
      </w:pPr>
      <w:r>
        <w:rPr>
          <w:rFonts w:ascii="Times New Roman" w:hAnsi="Times New Roman" w:eastAsia="华文中宋"/>
          <w:sz w:val="36"/>
          <w:szCs w:val="36"/>
        </w:rPr>
        <w:t>202</w:t>
      </w:r>
      <w:r>
        <w:rPr>
          <w:rFonts w:hint="eastAsia" w:ascii="Times New Roman" w:hAnsi="Times New Roman" w:eastAsia="华文中宋"/>
          <w:sz w:val="36"/>
          <w:szCs w:val="36"/>
          <w:lang w:val="en-US" w:eastAsia="zh-CN"/>
        </w:rPr>
        <w:t>2</w:t>
      </w:r>
      <w:r>
        <w:rPr>
          <w:rFonts w:ascii="Times New Roman" w:hAnsi="Times New Roman" w:eastAsia="华文中宋"/>
          <w:sz w:val="36"/>
          <w:szCs w:val="36"/>
        </w:rPr>
        <w:t>年度行政事业性国有资产分析报告提纲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贯彻落实市委、市政府关于</w:t>
      </w:r>
      <w:r>
        <w:rPr>
          <w:rFonts w:ascii="仿宋_GB2312" w:eastAsia="仿宋_GB2312"/>
          <w:sz w:val="32"/>
          <w:szCs w:val="32"/>
        </w:rPr>
        <w:t>国有资产管理情况</w:t>
      </w:r>
      <w:r>
        <w:rPr>
          <w:rFonts w:hint="eastAsia" w:ascii="仿宋_GB2312" w:eastAsia="仿宋_GB2312"/>
          <w:sz w:val="32"/>
          <w:szCs w:val="32"/>
          <w:lang w:eastAsia="zh-CN"/>
        </w:rPr>
        <w:t>报告工作的</w:t>
      </w:r>
      <w:r>
        <w:rPr>
          <w:rFonts w:ascii="仿宋_GB2312" w:eastAsia="仿宋_GB2312"/>
          <w:sz w:val="32"/>
          <w:szCs w:val="32"/>
        </w:rPr>
        <w:t>要求，</w:t>
      </w: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ascii="Times New Roman" w:hAnsi="Times New Roman" w:eastAsia="仿宋_GB2312"/>
          <w:sz w:val="32"/>
          <w:szCs w:val="32"/>
        </w:rPr>
        <w:t>《行政事业性国有资产管理条例》（国务院令第738号）</w:t>
      </w:r>
      <w:r>
        <w:rPr>
          <w:rFonts w:hint="eastAsia" w:ascii="仿宋_GB2312" w:eastAsia="仿宋_GB2312"/>
          <w:sz w:val="32"/>
          <w:szCs w:val="32"/>
        </w:rPr>
        <w:t>和《行政事业单位国有资产报告制度》等有关规定，现对本单位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本地区资产占有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使用、变动以及管理情况等进行分析报告如下：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568" w:firstLine="0" w:firstLineChars="0"/>
        <w:textAlignment w:val="auto"/>
        <w:rPr>
          <w:rFonts w:ascii="黑体" w:hAnsi="仿宋" w:eastAsia="黑体"/>
          <w:color w:val="000000"/>
          <w:sz w:val="32"/>
          <w:szCs w:val="32"/>
        </w:rPr>
      </w:pPr>
      <w:r>
        <w:rPr>
          <w:rFonts w:hint="eastAsia" w:ascii="黑体" w:hAnsi="仿宋" w:eastAsia="黑体"/>
          <w:color w:val="000000"/>
          <w:sz w:val="32"/>
          <w:szCs w:val="32"/>
        </w:rPr>
        <w:t>一</w:t>
      </w:r>
      <w:r>
        <w:rPr>
          <w:rFonts w:ascii="黑体" w:hAnsi="仿宋" w:eastAsia="黑体"/>
          <w:color w:val="000000"/>
          <w:sz w:val="32"/>
          <w:szCs w:val="32"/>
        </w:rPr>
        <w:t>、</w:t>
      </w:r>
      <w:r>
        <w:rPr>
          <w:rFonts w:hint="eastAsia" w:ascii="黑体" w:hAnsi="仿宋" w:eastAsia="黑体"/>
          <w:color w:val="000000"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分析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本单位、</w:t>
      </w:r>
      <w:r>
        <w:rPr>
          <w:rFonts w:hint="eastAsia" w:ascii="仿宋_GB2312" w:eastAsia="仿宋_GB2312"/>
          <w:sz w:val="32"/>
          <w:szCs w:val="32"/>
        </w:rPr>
        <w:t>本部门、本地区所属行政事业单位机构数、编制人数、实有人数等，</w:t>
      </w:r>
      <w:r>
        <w:rPr>
          <w:rFonts w:hint="eastAsia" w:ascii="仿宋_GB2312" w:eastAsia="仿宋_GB2312"/>
          <w:sz w:val="32"/>
          <w:szCs w:val="32"/>
          <w:lang w:eastAsia="zh-CN"/>
        </w:rPr>
        <w:t>市级主管</w:t>
      </w:r>
      <w:r>
        <w:rPr>
          <w:rFonts w:hint="eastAsia" w:ascii="仿宋_GB2312" w:eastAsia="仿宋_GB2312"/>
          <w:sz w:val="32"/>
          <w:szCs w:val="32"/>
        </w:rPr>
        <w:t>部门还应写明部门主要职责。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568" w:firstLine="0" w:firstLineChars="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hAnsi="仿宋" w:eastAsia="黑体"/>
          <w:color w:val="000000"/>
          <w:sz w:val="32"/>
          <w:szCs w:val="32"/>
        </w:rPr>
        <w:t>二</w:t>
      </w:r>
      <w:r>
        <w:rPr>
          <w:rFonts w:ascii="黑体" w:hAnsi="仿宋" w:eastAsia="黑体"/>
          <w:color w:val="000000"/>
          <w:sz w:val="32"/>
          <w:szCs w:val="32"/>
        </w:rPr>
        <w:t>、</w:t>
      </w:r>
      <w:r>
        <w:rPr>
          <w:rFonts w:hint="eastAsia" w:ascii="黑体" w:hAnsi="仿宋" w:eastAsia="黑体"/>
          <w:color w:val="000000"/>
          <w:sz w:val="32"/>
          <w:szCs w:val="32"/>
        </w:rPr>
        <w:t>资产情况分析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36" w:firstLineChars="198"/>
        <w:textAlignment w:val="auto"/>
        <w:rPr>
          <w:rFonts w:ascii="仿宋_GB2312" w:eastAsia="仿宋_GB2312"/>
          <w:sz w:val="32"/>
          <w:szCs w:val="32"/>
          <w:highlight w:val="yellow"/>
        </w:rPr>
      </w:pPr>
      <w:r>
        <w:rPr>
          <w:rFonts w:hint="eastAsia" w:ascii="楷体_GB2312" w:hAnsi="楷体" w:eastAsia="楷体_GB2312"/>
          <w:b/>
          <w:sz w:val="32"/>
          <w:szCs w:val="32"/>
        </w:rPr>
        <w:t>（一）资产的总体情况分析。</w:t>
      </w:r>
      <w:r>
        <w:rPr>
          <w:rFonts w:hint="eastAsia" w:ascii="仿宋_GB2312" w:eastAsia="仿宋_GB2312"/>
          <w:sz w:val="32"/>
          <w:szCs w:val="32"/>
        </w:rPr>
        <w:t>主要包括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本单位、</w:t>
      </w: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本地区资产总量、分布、构成、变动等情况，同时可结合预算收支、债务、历年情况等对资产分布、构成、变动的原因做出分析。其中</w:t>
      </w:r>
      <w:r>
        <w:rPr>
          <w:rFonts w:ascii="仿宋_GB2312" w:eastAsia="仿宋_GB2312"/>
          <w:sz w:val="32"/>
          <w:szCs w:val="32"/>
        </w:rPr>
        <w:t>，构成情况应包含流动资产</w:t>
      </w:r>
      <w:r>
        <w:rPr>
          <w:rFonts w:hint="eastAsia" w:ascii="仿宋_GB2312" w:eastAsia="仿宋_GB2312"/>
          <w:sz w:val="32"/>
          <w:szCs w:val="32"/>
        </w:rPr>
        <w:t>（重点是</w:t>
      </w:r>
      <w:r>
        <w:rPr>
          <w:rFonts w:ascii="仿宋_GB2312" w:eastAsia="仿宋_GB2312"/>
          <w:sz w:val="32"/>
          <w:szCs w:val="32"/>
        </w:rPr>
        <w:t>货币资金）、</w:t>
      </w:r>
      <w:r>
        <w:rPr>
          <w:rFonts w:hint="eastAsia" w:ascii="仿宋_GB2312" w:eastAsia="仿宋_GB2312"/>
          <w:sz w:val="32"/>
          <w:szCs w:val="32"/>
        </w:rPr>
        <w:t>无形资产</w:t>
      </w:r>
      <w:r>
        <w:rPr>
          <w:rFonts w:ascii="仿宋_GB2312" w:eastAsia="仿宋_GB2312"/>
          <w:sz w:val="32"/>
          <w:szCs w:val="32"/>
        </w:rPr>
        <w:t>、固定资产</w:t>
      </w:r>
      <w:r>
        <w:rPr>
          <w:rFonts w:hint="eastAsia" w:ascii="仿宋_GB2312" w:eastAsia="仿宋_GB2312"/>
          <w:sz w:val="32"/>
          <w:szCs w:val="32"/>
        </w:rPr>
        <w:t>、在建工程、</w:t>
      </w:r>
      <w:r>
        <w:rPr>
          <w:rFonts w:hint="eastAsia" w:ascii="仿宋_GB2312" w:eastAsia="仿宋_GB2312"/>
          <w:sz w:val="32"/>
          <w:szCs w:val="32"/>
          <w:lang w:eastAsia="zh-CN"/>
        </w:rPr>
        <w:t>长期投资、</w:t>
      </w:r>
      <w:r>
        <w:rPr>
          <w:rFonts w:hint="eastAsia" w:ascii="仿宋_GB2312" w:eastAsia="仿宋_GB2312"/>
          <w:sz w:val="32"/>
          <w:szCs w:val="32"/>
        </w:rPr>
        <w:t>公共基础设施、政府储备物资、文物文化资产、保障性住房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PPP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项目资产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占</w:t>
      </w:r>
      <w:r>
        <w:rPr>
          <w:rFonts w:hint="eastAsia" w:ascii="仿宋_GB2312" w:eastAsia="仿宋_GB2312"/>
          <w:sz w:val="32"/>
          <w:szCs w:val="32"/>
        </w:rPr>
        <w:t>资产总额比例情况。</w:t>
      </w:r>
      <w:r>
        <w:rPr>
          <w:rFonts w:hint="eastAsia" w:ascii="仿宋_GB2312" w:eastAsia="仿宋_GB2312"/>
          <w:sz w:val="32"/>
          <w:szCs w:val="32"/>
          <w:lang w:eastAsia="zh-CN"/>
        </w:rPr>
        <w:t>各区</w:t>
      </w:r>
      <w:r>
        <w:rPr>
          <w:rFonts w:hint="eastAsia" w:ascii="仿宋_GB2312" w:eastAsia="仿宋_GB2312"/>
          <w:sz w:val="32"/>
          <w:szCs w:val="32"/>
        </w:rPr>
        <w:t>财政部门应对本地区</w:t>
      </w:r>
      <w:r>
        <w:rPr>
          <w:rFonts w:hint="eastAsia" w:ascii="仿宋_GB2312" w:hAnsi="楷体" w:eastAsia="仿宋_GB2312"/>
          <w:kern w:val="0"/>
          <w:sz w:val="32"/>
          <w:szCs w:val="32"/>
        </w:rPr>
        <w:t>教育、卫生、文化、科技、交通等</w:t>
      </w:r>
      <w:r>
        <w:rPr>
          <w:rFonts w:hint="eastAsia" w:ascii="仿宋_GB2312" w:eastAsia="仿宋_GB2312"/>
          <w:sz w:val="32"/>
          <w:szCs w:val="32"/>
        </w:rPr>
        <w:t>重点行业进行分析。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475" w:firstLineChars="148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t>（二）资产配置、使用、处置、收益情况分析。</w:t>
      </w:r>
      <w:r>
        <w:rPr>
          <w:rFonts w:hint="eastAsia" w:ascii="仿宋_GB2312" w:eastAsia="仿宋_GB2312"/>
          <w:sz w:val="32"/>
          <w:szCs w:val="32"/>
        </w:rPr>
        <w:t>分析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本单位、</w:t>
      </w: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地区资产整体配置、使用、处置、收益情况，特别是与部门、单位履行职能和促进行政管理、事业发展相关的重点资产的配置、使用、处置、收益等情况。资产使用情况应包含本期新增出租出借资产及对外投资情况；资产收益情况应包含利用国有资产对外投资、出租出借或处置国有资产取得的收益情况。</w:t>
      </w:r>
    </w:p>
    <w:p>
      <w:pPr>
        <w:keepNext w:val="0"/>
        <w:keepLines w:val="0"/>
        <w:pageBreakBefore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" w:eastAsia="楷体_GB2312"/>
          <w:b/>
          <w:kern w:val="0"/>
          <w:sz w:val="32"/>
          <w:szCs w:val="32"/>
        </w:rPr>
        <w:t>（三）资产总体绩效情况。</w:t>
      </w:r>
      <w:r>
        <w:rPr>
          <w:rFonts w:hint="eastAsia" w:ascii="仿宋_GB2312" w:eastAsia="仿宋_GB2312"/>
          <w:sz w:val="32"/>
          <w:szCs w:val="32"/>
        </w:rPr>
        <w:t>分析本部门、本地区资产整体配置效率和使用效益等。其中，资产配置效率</w:t>
      </w:r>
      <w:r>
        <w:rPr>
          <w:rFonts w:hint="eastAsia" w:ascii="仿宋_GB2312" w:eastAsia="仿宋_GB2312"/>
          <w:sz w:val="32"/>
          <w:szCs w:val="32"/>
          <w:lang w:eastAsia="zh-CN"/>
        </w:rPr>
        <w:t>可</w:t>
      </w:r>
      <w:r>
        <w:rPr>
          <w:rFonts w:hint="eastAsia" w:ascii="仿宋_GB2312" w:eastAsia="仿宋_GB2312"/>
          <w:sz w:val="32"/>
          <w:szCs w:val="32"/>
        </w:rPr>
        <w:t>包含人均占有办公室使用面积、人均占有通用设备数量等主要指标分析；资产使用效益</w:t>
      </w:r>
      <w:r>
        <w:rPr>
          <w:rFonts w:hint="eastAsia" w:ascii="仿宋_GB2312" w:eastAsia="仿宋_GB2312"/>
          <w:sz w:val="32"/>
          <w:szCs w:val="32"/>
          <w:lang w:eastAsia="zh-CN"/>
        </w:rPr>
        <w:t>可</w:t>
      </w:r>
      <w:r>
        <w:rPr>
          <w:rFonts w:hint="eastAsia" w:ascii="仿宋_GB2312" w:eastAsia="仿宋_GB2312"/>
          <w:sz w:val="32"/>
          <w:szCs w:val="32"/>
        </w:rPr>
        <w:t>包含资产闲置率、出租出借收益率、对外投资收益率等主要指标分析。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25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三、资产管理工作情况及成效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159" w:leftChars="76" w:firstLine="64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（一）认真总结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本单位、</w:t>
      </w: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本地区落实</w:t>
      </w:r>
      <w:r>
        <w:rPr>
          <w:rFonts w:ascii="Times New Roman" w:hAnsi="Times New Roman" w:eastAsia="仿宋_GB2312"/>
          <w:sz w:val="32"/>
          <w:szCs w:val="32"/>
        </w:rPr>
        <w:t>《行政事业性国有资产管理条例》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各项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资产管理</w:t>
      </w:r>
      <w:r>
        <w:rPr>
          <w:rFonts w:ascii="Times New Roman" w:hAnsi="Times New Roman" w:eastAsia="仿宋_GB2312"/>
          <w:sz w:val="32"/>
          <w:szCs w:val="32"/>
        </w:rPr>
        <w:t>举措，在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管理</w:t>
      </w:r>
      <w:r>
        <w:rPr>
          <w:rFonts w:hint="eastAsia" w:ascii="仿宋_GB2312" w:hAnsi="楷体" w:eastAsia="仿宋_GB2312"/>
          <w:kern w:val="0"/>
          <w:sz w:val="32"/>
          <w:szCs w:val="32"/>
        </w:rPr>
        <w:t>制度制定、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加强</w:t>
      </w:r>
      <w:r>
        <w:rPr>
          <w:rFonts w:hint="eastAsia" w:ascii="仿宋_GB2312" w:hAnsi="楷体" w:eastAsia="仿宋_GB2312"/>
          <w:kern w:val="0"/>
          <w:sz w:val="32"/>
          <w:szCs w:val="32"/>
        </w:rPr>
        <w:t>基础管理、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资产</w:t>
      </w:r>
      <w:r>
        <w:rPr>
          <w:rFonts w:hint="eastAsia" w:ascii="仿宋_GB2312" w:hAnsi="楷体" w:eastAsia="仿宋_GB2312"/>
          <w:kern w:val="0"/>
          <w:sz w:val="32"/>
          <w:szCs w:val="32"/>
        </w:rPr>
        <w:t>配置使用和处置全流程管理以及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提高资产管理</w:t>
      </w:r>
      <w:r>
        <w:rPr>
          <w:rFonts w:hint="eastAsia" w:ascii="仿宋_GB2312" w:hAnsi="楷体" w:eastAsia="仿宋_GB2312"/>
          <w:kern w:val="0"/>
          <w:sz w:val="32"/>
          <w:szCs w:val="32"/>
        </w:rPr>
        <w:t>信息化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水平</w:t>
      </w:r>
      <w:r>
        <w:rPr>
          <w:rFonts w:hint="eastAsia" w:ascii="仿宋_GB2312" w:hAnsi="楷体" w:eastAsia="仿宋_GB2312"/>
          <w:kern w:val="0"/>
          <w:sz w:val="32"/>
          <w:szCs w:val="32"/>
        </w:rPr>
        <w:t>等方面的情况，重点反映加强资源</w:t>
      </w:r>
      <w:r>
        <w:rPr>
          <w:rFonts w:ascii="仿宋_GB2312" w:hAnsi="楷体" w:eastAsia="仿宋_GB2312"/>
          <w:kern w:val="0"/>
          <w:sz w:val="32"/>
          <w:szCs w:val="32"/>
        </w:rPr>
        <w:t>统筹</w:t>
      </w:r>
      <w:r>
        <w:rPr>
          <w:rFonts w:hint="eastAsia" w:ascii="仿宋_GB2312" w:hAnsi="楷体" w:eastAsia="仿宋_GB2312"/>
          <w:kern w:val="0"/>
          <w:sz w:val="32"/>
          <w:szCs w:val="32"/>
        </w:rPr>
        <w:t>、提高资产运行绩效、强化基础管理等方面的举措。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各区</w:t>
      </w:r>
      <w:r>
        <w:rPr>
          <w:rFonts w:hint="eastAsia" w:ascii="仿宋_GB2312" w:eastAsia="仿宋_GB2312"/>
          <w:sz w:val="32"/>
          <w:szCs w:val="32"/>
        </w:rPr>
        <w:t>财政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应对本地区资产管理信息系统建设情况进行总结。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159" w:leftChars="76" w:firstLine="640"/>
        <w:textAlignment w:val="auto"/>
        <w:rPr>
          <w:rFonts w:hint="eastAsia" w:ascii="仿宋_GB2312" w:hAnsi="华文仿宋" w:eastAsia="仿宋_GB2312" w:cs="华文仿宋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（二）全面反映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本单位、</w:t>
      </w: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本地区</w:t>
      </w:r>
      <w:r>
        <w:rPr>
          <w:rFonts w:hint="eastAsia" w:ascii="仿宋_GB2312" w:hAnsi="楷体" w:eastAsia="仿宋_GB2312"/>
          <w:kern w:val="0"/>
          <w:sz w:val="32"/>
          <w:szCs w:val="32"/>
        </w:rPr>
        <w:t>行政事业性国有资产管理在贯彻落实党中央、国务院决策部署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和市委、市政府工作要求</w:t>
      </w:r>
      <w:r>
        <w:rPr>
          <w:rFonts w:hint="eastAsia" w:ascii="仿宋_GB2312" w:hAnsi="楷体" w:eastAsia="仿宋_GB2312"/>
          <w:kern w:val="0"/>
          <w:sz w:val="32"/>
          <w:szCs w:val="32"/>
        </w:rPr>
        <w:t>，保障单位正常运转</w:t>
      </w:r>
      <w:r>
        <w:rPr>
          <w:rFonts w:hint="eastAsia" w:ascii="仿宋_GB2312" w:hAnsi="华文仿宋" w:eastAsia="仿宋_GB2312" w:cs="华文仿宋"/>
          <w:kern w:val="0"/>
          <w:sz w:val="32"/>
          <w:szCs w:val="32"/>
        </w:rPr>
        <w:t>，</w:t>
      </w:r>
      <w:r>
        <w:rPr>
          <w:rFonts w:hint="eastAsia" w:ascii="仿宋_GB2312" w:hAnsi="楷体" w:eastAsia="仿宋_GB2312"/>
          <w:kern w:val="0"/>
          <w:sz w:val="32"/>
          <w:szCs w:val="32"/>
        </w:rPr>
        <w:t>提供社会</w:t>
      </w:r>
      <w:r>
        <w:rPr>
          <w:rFonts w:hint="eastAsia" w:ascii="仿宋_GB2312" w:hAnsi="华文仿宋" w:eastAsia="仿宋_GB2312" w:cs="华文仿宋"/>
          <w:kern w:val="0"/>
          <w:sz w:val="32"/>
          <w:szCs w:val="32"/>
        </w:rPr>
        <w:t>公共服务以及</w:t>
      </w:r>
      <w:r>
        <w:rPr>
          <w:rFonts w:hint="eastAsia" w:ascii="仿宋_GB2312" w:hAnsi="楷体" w:eastAsia="仿宋_GB2312"/>
          <w:kern w:val="0"/>
          <w:sz w:val="32"/>
          <w:szCs w:val="32"/>
        </w:rPr>
        <w:t>推进行政事业单位各项改革</w:t>
      </w:r>
      <w:r>
        <w:rPr>
          <w:rFonts w:hint="eastAsia" w:ascii="仿宋_GB2312" w:hAnsi="华文仿宋" w:eastAsia="仿宋_GB2312" w:cs="华文仿宋"/>
          <w:kern w:val="0"/>
          <w:sz w:val="32"/>
          <w:szCs w:val="32"/>
        </w:rPr>
        <w:t>等方面所发挥的</w:t>
      </w:r>
      <w:r>
        <w:rPr>
          <w:rFonts w:hint="eastAsia" w:ascii="仿宋_GB2312" w:hAnsi="楷体" w:eastAsia="仿宋_GB2312"/>
          <w:kern w:val="0"/>
          <w:sz w:val="32"/>
          <w:szCs w:val="32"/>
        </w:rPr>
        <w:t>积极</w:t>
      </w:r>
      <w:r>
        <w:rPr>
          <w:rFonts w:hint="eastAsia" w:ascii="仿宋_GB2312" w:hAnsi="华文仿宋" w:eastAsia="仿宋_GB2312" w:cs="华文仿宋"/>
          <w:kern w:val="0"/>
          <w:sz w:val="32"/>
          <w:szCs w:val="32"/>
        </w:rPr>
        <w:t>作用。重点反映</w:t>
      </w:r>
      <w:r>
        <w:rPr>
          <w:rFonts w:hint="eastAsia" w:ascii="仿宋_GB2312" w:hAnsi="楷体" w:eastAsia="仿宋_GB2312"/>
          <w:kern w:val="0"/>
          <w:sz w:val="32"/>
          <w:szCs w:val="32"/>
        </w:rPr>
        <w:t>教育、卫生、文化、科技等行业</w:t>
      </w:r>
      <w:r>
        <w:rPr>
          <w:rFonts w:hint="eastAsia" w:ascii="仿宋_GB2312" w:hAnsi="华文仿宋" w:eastAsia="仿宋_GB2312" w:cs="华文仿宋"/>
          <w:kern w:val="0"/>
          <w:sz w:val="32"/>
          <w:szCs w:val="32"/>
        </w:rPr>
        <w:t>资产</w:t>
      </w:r>
      <w:r>
        <w:rPr>
          <w:rFonts w:hint="eastAsia" w:ascii="仿宋_GB2312" w:hAnsi="华文仿宋" w:eastAsia="仿宋_GB2312" w:cs="华文仿宋"/>
          <w:kern w:val="0"/>
          <w:sz w:val="32"/>
          <w:szCs w:val="32"/>
          <w:lang w:eastAsia="zh-CN"/>
        </w:rPr>
        <w:t>管理工作</w:t>
      </w:r>
      <w:r>
        <w:rPr>
          <w:rFonts w:hint="eastAsia" w:ascii="仿宋_GB2312" w:hAnsi="华文仿宋" w:eastAsia="仿宋_GB2312" w:cs="华文仿宋"/>
          <w:kern w:val="0"/>
          <w:sz w:val="32"/>
          <w:szCs w:val="32"/>
        </w:rPr>
        <w:t>在抗击新冠肺炎疫情、促进公共服务均等化、助力乡村振兴、提升创新能力等工作中发挥的</w:t>
      </w:r>
      <w:r>
        <w:rPr>
          <w:rFonts w:hint="eastAsia" w:ascii="仿宋_GB2312" w:hAnsi="华文仿宋" w:eastAsia="仿宋_GB2312" w:cs="华文仿宋"/>
          <w:kern w:val="0"/>
          <w:sz w:val="32"/>
          <w:szCs w:val="32"/>
          <w:lang w:eastAsia="zh-CN"/>
        </w:rPr>
        <w:t>积极</w:t>
      </w:r>
      <w:r>
        <w:rPr>
          <w:rFonts w:hint="eastAsia" w:ascii="仿宋_GB2312" w:hAnsi="华文仿宋" w:eastAsia="仿宋_GB2312" w:cs="华文仿宋"/>
          <w:kern w:val="0"/>
          <w:sz w:val="32"/>
          <w:szCs w:val="32"/>
        </w:rPr>
        <w:t>作用。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159" w:leftChars="76" w:firstLine="640"/>
        <w:textAlignment w:val="auto"/>
        <w:rPr>
          <w:rFonts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华文仿宋" w:eastAsia="仿宋_GB2312" w:cs="华文仿宋"/>
          <w:kern w:val="0"/>
          <w:sz w:val="32"/>
          <w:szCs w:val="32"/>
        </w:rPr>
        <w:t>（三）全面总结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本单位、</w:t>
      </w: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本地区</w:t>
      </w:r>
      <w:r>
        <w:rPr>
          <w:rFonts w:hint="eastAsia" w:ascii="仿宋_GB2312" w:hAnsi="楷体" w:eastAsia="仿宋_GB2312"/>
          <w:kern w:val="0"/>
          <w:sz w:val="32"/>
          <w:szCs w:val="32"/>
        </w:rPr>
        <w:t>公共基础设施等行政事业性国有资产管理情况。重点反映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公路</w:t>
      </w:r>
      <w:r>
        <w:rPr>
          <w:rFonts w:ascii="仿宋_GB2312" w:hAnsi="楷体" w:eastAsia="仿宋_GB2312"/>
          <w:kern w:val="0"/>
          <w:sz w:val="32"/>
          <w:szCs w:val="32"/>
        </w:rPr>
        <w:t>资产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 w:eastAsia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水利资产</w:t>
      </w:r>
      <w:r>
        <w:rPr>
          <w:rFonts w:ascii="仿宋_GB2312" w:hAnsi="楷体" w:eastAsia="仿宋_GB2312"/>
          <w:kern w:val="0"/>
          <w:sz w:val="32"/>
          <w:szCs w:val="32"/>
        </w:rPr>
        <w:t>专项清查</w:t>
      </w:r>
      <w:r>
        <w:rPr>
          <w:rFonts w:hint="eastAsia" w:ascii="仿宋_GB2312" w:hAnsi="楷体" w:eastAsia="仿宋_GB2312"/>
          <w:kern w:val="0"/>
          <w:sz w:val="32"/>
          <w:szCs w:val="32"/>
        </w:rPr>
        <w:t>情况</w:t>
      </w:r>
      <w:r>
        <w:rPr>
          <w:rFonts w:ascii="仿宋_GB2312" w:hAnsi="楷体" w:eastAsia="仿宋_GB2312"/>
          <w:kern w:val="0"/>
          <w:sz w:val="32"/>
          <w:szCs w:val="32"/>
        </w:rPr>
        <w:t>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159" w:leftChars="76" w:firstLine="640"/>
        <w:textAlignment w:val="auto"/>
        <w:rPr>
          <w:rFonts w:hint="eastAsia" w:ascii="仿宋_GB2312" w:hAnsi="华文仿宋" w:eastAsia="仿宋_GB2312" w:cs="华文仿宋"/>
          <w:bCs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（四）梳理</w:t>
      </w:r>
      <w:r>
        <w:rPr>
          <w:rFonts w:hint="eastAsia" w:ascii="仿宋_GB2312" w:hAnsi="华文仿宋" w:eastAsia="仿宋_GB2312" w:cs="华文仿宋"/>
          <w:bCs/>
          <w:kern w:val="0"/>
          <w:sz w:val="32"/>
          <w:szCs w:val="32"/>
        </w:rPr>
        <w:t>人大、审计、巡视等提出的行政事业性</w:t>
      </w:r>
      <w:r>
        <w:rPr>
          <w:rFonts w:ascii="仿宋_GB2312" w:hAnsi="华文仿宋" w:eastAsia="仿宋_GB2312" w:cs="华文仿宋"/>
          <w:bCs/>
          <w:kern w:val="0"/>
          <w:sz w:val="32"/>
          <w:szCs w:val="32"/>
        </w:rPr>
        <w:t>国有</w:t>
      </w:r>
      <w:r>
        <w:rPr>
          <w:rFonts w:hint="eastAsia" w:ascii="仿宋_GB2312" w:hAnsi="华文仿宋" w:eastAsia="仿宋_GB2312" w:cs="华文仿宋"/>
          <w:bCs/>
          <w:kern w:val="0"/>
          <w:sz w:val="32"/>
          <w:szCs w:val="32"/>
        </w:rPr>
        <w:t>资产管理问题及建议，总结整改措施和整改进展情况。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黑体" w:hAnsi="仿宋" w:eastAsia="黑体"/>
          <w:color w:val="000000" w:themeColor="text1"/>
          <w:sz w:val="32"/>
          <w:szCs w:val="32"/>
          <w:highlight w:val="none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资产盘活工作举措和成效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0" w:firstLine="640" w:firstLineChars="200"/>
        <w:jc w:val="both"/>
        <w:textAlignment w:val="auto"/>
        <w:rPr>
          <w:rFonts w:hint="eastAsia" w:ascii="仿宋_GB2312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Calibri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《财政部关于盘活行政事业单位国有资产的指导意见》（财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资〔2022〕124</w:t>
      </w:r>
      <w:r>
        <w:rPr>
          <w:rFonts w:hint="eastAsia" w:ascii="仿宋_GB2312" w:hAnsi="Calibri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号）</w:t>
      </w:r>
      <w:r>
        <w:rPr>
          <w:rFonts w:hint="eastAsia" w:ascii="仿宋_GB2312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，汇总反映本单位、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本部门、本地区所属行政事业单位推进资产盘活利用的相关举措及工作成效（明确盘活资产价值），并结合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年度资产年报《固定和无形资产存量情况表》中闲置资产类型及价值，重点说明房屋、土地、车辆、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单价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100万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（含）以上的大型设备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、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家具用具等待盘活资产基础情况，并提出下一步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有针对性的资产盘活方案，以及推进资产盘活工作不断提质增效的建议等内容。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仿宋" w:eastAsia="黑体"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仿宋" w:eastAsia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资产管理工作存在的问题及整改措施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25"/>
        <w:textAlignment w:val="auto"/>
        <w:rPr>
          <w:rFonts w:hAnsi="Calibri"/>
          <w:kern w:val="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对照现有制度，结合</w:t>
      </w:r>
      <w:r>
        <w:rPr>
          <w:rFonts w:ascii="Times New Roman" w:hAnsi="Times New Roman" w:eastAsia="仿宋_GB2312"/>
          <w:sz w:val="32"/>
          <w:szCs w:val="32"/>
        </w:rPr>
        <w:t>《行政事业性国有资产管理条例》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文件要求，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行政事业性国有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资产管理各方面存在的问题进行梳理和自查，提出下一步推进资产管理的工作思路。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720" w:firstLineChars="225"/>
        <w:textAlignment w:val="auto"/>
        <w:rPr>
          <w:rFonts w:asci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、其他需要报告的重要事项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本单位、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本部门、本地区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资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产损失、权属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不清晰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等重要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资产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管理问题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以及其他重要事项进行详细分析说明。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本单位、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本部门、本地区政府储备物资、公共基础设施、文物文化资产、保障性住房数据与行业统计数据对比情况，如不一致应说明差异原因。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1"/>
        <w:textAlignment w:val="auto"/>
        <w:rPr>
          <w:rFonts w:hAnsi="Calibri"/>
          <w:kern w:val="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华文中宋" w:hAnsi="华文中宋" w:eastAsia="华文中宋" w:cs="华文中宋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cs="华文中宋" w:asciiTheme="minorEastAsia" w:hAnsiTheme="minorEastAsia" w:eastAsiaTheme="minorEastAsia"/>
          <w:i/>
          <w:sz w:val="24"/>
          <w:szCs w:val="36"/>
        </w:rPr>
      </w:pP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注：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正式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分析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报告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内容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  <w:lang w:eastAsia="zh-CN"/>
        </w:rPr>
        <w:t>应该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包含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，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但不限于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本参考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格式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中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的内容。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  <w:lang w:eastAsia="zh-CN"/>
        </w:rPr>
        <w:t>各地区、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各部门和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单位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需结合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自身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实际</w:t>
      </w:r>
      <w:r>
        <w:rPr>
          <w:rFonts w:cs="华文中宋" w:asciiTheme="minorEastAsia" w:hAnsiTheme="minorEastAsia" w:eastAsiaTheme="minorEastAsia"/>
          <w:i/>
          <w:sz w:val="24"/>
          <w:szCs w:val="36"/>
        </w:rPr>
        <w:t>情况，</w:t>
      </w:r>
      <w:r>
        <w:rPr>
          <w:rFonts w:hint="eastAsia" w:cs="华文中宋" w:asciiTheme="minorEastAsia" w:hAnsiTheme="minorEastAsia" w:eastAsiaTheme="minorEastAsia"/>
          <w:i/>
          <w:sz w:val="24"/>
          <w:szCs w:val="36"/>
        </w:rPr>
        <w:t>把握报告重点，认真起草行政事业单位国有资产分析报告。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rFonts w:hint="eastAsia" w:asciiTheme="majorEastAsia" w:hAnsiTheme="majorEastAsia" w:eastAsiaTheme="majorEastAsia" w:cstheme="majorEastAsia"/>
        <w:sz w:val="28"/>
        <w:szCs w:val="28"/>
      </w:rPr>
    </w:pP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begin"/>
    </w:r>
    <w:r>
      <w:rPr>
        <w:rStyle w:val="8"/>
        <w:rFonts w:hint="eastAsia" w:asciiTheme="majorEastAsia" w:hAnsiTheme="majorEastAsia" w:eastAsiaTheme="majorEastAsia" w:cstheme="majorEastAsia"/>
        <w:sz w:val="28"/>
        <w:szCs w:val="28"/>
      </w:rPr>
      <w:instrText xml:space="preserve">PAGE  </w:instrTex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separate"/>
    </w:r>
    <w:r>
      <w:rPr>
        <w:rStyle w:val="8"/>
        <w:rFonts w:hint="eastAsia" w:asciiTheme="majorEastAsia" w:hAnsiTheme="majorEastAsia" w:eastAsiaTheme="majorEastAsia" w:cstheme="majorEastAsia"/>
        <w:sz w:val="28"/>
        <w:szCs w:val="28"/>
      </w:rPr>
      <w:t>4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end"/>
    </w:r>
  </w:p>
  <w:p>
    <w:pPr>
      <w:pStyle w:val="4"/>
      <w:rPr>
        <w:rFonts w:hint="eastAsia" w:asciiTheme="majorEastAsia" w:hAnsiTheme="majorEastAsia" w:eastAsiaTheme="majorEastAsia" w:cstheme="maj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67D"/>
    <w:rsid w:val="0015767D"/>
    <w:rsid w:val="004F2DD1"/>
    <w:rsid w:val="006C1072"/>
    <w:rsid w:val="00A41716"/>
    <w:rsid w:val="00A43B1B"/>
    <w:rsid w:val="00BF09BD"/>
    <w:rsid w:val="00C914E2"/>
    <w:rsid w:val="00CD25F9"/>
    <w:rsid w:val="1CFDC715"/>
    <w:rsid w:val="27FFAFEC"/>
    <w:rsid w:val="3F79DDEE"/>
    <w:rsid w:val="63EFE46B"/>
    <w:rsid w:val="7BFEC5CD"/>
    <w:rsid w:val="7C6DEDD1"/>
    <w:rsid w:val="7DEFDAB3"/>
    <w:rsid w:val="BEFB524C"/>
    <w:rsid w:val="DD6FD7DF"/>
    <w:rsid w:val="EFFE7404"/>
    <w:rsid w:val="F7DF5858"/>
    <w:rsid w:val="FFB8DEF3"/>
    <w:rsid w:val="FFE3FC55"/>
    <w:rsid w:val="FF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widowControl/>
      <w:adjustRightInd w:val="0"/>
      <w:snapToGrid w:val="0"/>
      <w:spacing w:line="360" w:lineRule="auto"/>
    </w:pPr>
    <w:rPr>
      <w:rFonts w:ascii="仿宋_GB2312" w:hAnsi="宋体" w:eastAsia="仿宋_GB2312"/>
      <w:kern w:val="0"/>
      <w:sz w:val="28"/>
      <w:szCs w:val="24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0"/>
    <w:rPr>
      <w:rFonts w:ascii="仿宋_GB2312" w:hAnsi="宋体" w:eastAsia="仿宋_GB2312" w:cs="Times New Roman"/>
      <w:kern w:val="0"/>
      <w:sz w:val="28"/>
      <w:szCs w:val="24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czj.sh</Company>
  <Pages>4</Pages>
  <Words>280</Words>
  <Characters>1598</Characters>
  <Lines>13</Lines>
  <Paragraphs>3</Paragraphs>
  <TotalTime>0</TotalTime>
  <ScaleCrop>false</ScaleCrop>
  <LinksUpToDate>false</LinksUpToDate>
  <CharactersWithSpaces>1875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2022-02-17T02:07:00Z</dcterms:created>
  <dc:creator>宿　杭</dc:creator>
  <cp:lastModifiedBy>lenovo</cp:lastModifiedBy>
  <cp:lastPrinted>2022-02-18T03:15:00Z</cp:lastPrinted>
  <dcterms:modified xsi:type="dcterms:W3CDTF">2023-02-03T14:34:11Z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